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47EA3" w14:textId="1F0E14FC" w:rsidR="003428F4" w:rsidRPr="008D079B" w:rsidRDefault="003428F4" w:rsidP="008D079B">
      <w:pPr>
        <w:contextualSpacing/>
        <w:rPr>
          <w:b/>
          <w:bCs/>
          <w:lang w:val="nl-NL"/>
        </w:rPr>
      </w:pPr>
      <w:r>
        <w:rPr>
          <w:b/>
          <w:bCs/>
          <w:lang w:val="nl-NL"/>
        </w:rPr>
        <w:t>Verandering Nederlandse/MPG regels</w:t>
      </w:r>
    </w:p>
    <w:p w14:paraId="44723A4C" w14:textId="09A26054" w:rsidR="00A70B7F" w:rsidRDefault="008D079B" w:rsidP="008D079B">
      <w:pPr>
        <w:contextualSpacing/>
        <w:rPr>
          <w:lang w:val="nl-NL"/>
        </w:rPr>
      </w:pPr>
      <w:r w:rsidRPr="008D079B">
        <w:rPr>
          <w:lang w:val="nl-NL"/>
        </w:rPr>
        <w:t>Volgens het rapport 'Verkenning GWP eis', uitgebracht in juli 2023, blijft de Milieuprestatie Gebouwen (MPG) een cruciaal instrument voor het behalen van lange</w:t>
      </w:r>
      <w:r>
        <w:rPr>
          <w:lang w:val="nl-NL"/>
        </w:rPr>
        <w:t xml:space="preserve"> </w:t>
      </w:r>
      <w:r w:rsidRPr="008D079B">
        <w:rPr>
          <w:lang w:val="nl-NL"/>
        </w:rPr>
        <w:t xml:space="preserve">termijndoelstellingen. Echter, de MPG-eis is niet ideaal voor het sturen op korte termijn klimaatdoelen. Dit komt doordat de MPG alle resultaten van verschillende modules </w:t>
      </w:r>
      <w:r w:rsidR="00757C3E">
        <w:rPr>
          <w:lang w:val="nl-NL"/>
        </w:rPr>
        <w:t xml:space="preserve">(= fases in het bouwproces) </w:t>
      </w:r>
      <w:r w:rsidRPr="008D079B">
        <w:rPr>
          <w:lang w:val="nl-NL"/>
        </w:rPr>
        <w:t>bij elkaar optelt. De brede scope van de levenscyclus van de MPG maakt het mogelijk dat een hoge milieubelasting tijdens de planning en bouw</w:t>
      </w:r>
      <w:r w:rsidR="00AD4722">
        <w:rPr>
          <w:lang w:val="nl-NL"/>
        </w:rPr>
        <w:t>module</w:t>
      </w:r>
      <w:r w:rsidRPr="008D079B">
        <w:rPr>
          <w:lang w:val="nl-NL"/>
        </w:rPr>
        <w:t xml:space="preserve"> kan worden gecompenseerd door een lagere belasting of zelfs een positief effect</w:t>
      </w:r>
      <w:r w:rsidR="00AD4722">
        <w:rPr>
          <w:lang w:val="nl-NL"/>
        </w:rPr>
        <w:t xml:space="preserve"> (negatief milieueffect door hergebruik of recycling)</w:t>
      </w:r>
      <w:r w:rsidRPr="008D079B">
        <w:rPr>
          <w:lang w:val="nl-NL"/>
        </w:rPr>
        <w:t xml:space="preserve"> in latere modules. Daarom </w:t>
      </w:r>
      <w:r w:rsidR="00FC2C9C">
        <w:rPr>
          <w:lang w:val="nl-NL"/>
        </w:rPr>
        <w:t xml:space="preserve">raden veel partijen aan om de </w:t>
      </w:r>
      <w:r w:rsidRPr="008D079B">
        <w:rPr>
          <w:lang w:val="nl-NL"/>
        </w:rPr>
        <w:t xml:space="preserve"> aanvullende </w:t>
      </w:r>
      <w:proofErr w:type="spellStart"/>
      <w:r w:rsidRPr="008D079B">
        <w:rPr>
          <w:lang w:val="nl-NL"/>
        </w:rPr>
        <w:t>GWPa</w:t>
      </w:r>
      <w:proofErr w:type="spellEnd"/>
      <w:r w:rsidRPr="008D079B">
        <w:rPr>
          <w:lang w:val="nl-NL"/>
        </w:rPr>
        <w:t xml:space="preserve">-eis </w:t>
      </w:r>
      <w:r w:rsidR="00FC2C9C">
        <w:rPr>
          <w:lang w:val="nl-NL"/>
        </w:rPr>
        <w:t>te introduceren</w:t>
      </w:r>
      <w:r w:rsidR="00AC5DE3">
        <w:rPr>
          <w:lang w:val="nl-NL"/>
        </w:rPr>
        <w:t xml:space="preserve">. </w:t>
      </w:r>
      <w:r w:rsidRPr="008D079B">
        <w:rPr>
          <w:lang w:val="nl-NL"/>
        </w:rPr>
        <w:t>Deze eis richt zich specifiek op de milieueffecten op korte termijn tijdens de productie- en bouwfase. Dankzij deze aanvullende eis kan worden voorkomen dat er in de komende jaren nieuwbouwprojecten worden gerealiseerd die weliswaar voldoen aan de MPG-eis, maar toch een aanzienlijke uitstoot van broeikasgassen hebben tijdens de planning en bouw.</w:t>
      </w:r>
      <w:r w:rsidR="002C5605">
        <w:rPr>
          <w:lang w:val="nl-NL"/>
        </w:rPr>
        <w:t xml:space="preserve"> Minister de Jonge heeft deze eis echter afgeslagen </w:t>
      </w:r>
      <w:r w:rsidR="00F67EC0">
        <w:rPr>
          <w:lang w:val="nl-NL"/>
        </w:rPr>
        <w:t>om zo op de lijn van Europa te blijven en het bouwers niet te ingewikkeld te maken.</w:t>
      </w:r>
    </w:p>
    <w:p w14:paraId="17B2606E" w14:textId="77777777" w:rsidR="003428F4" w:rsidRDefault="003428F4" w:rsidP="008D079B">
      <w:pPr>
        <w:contextualSpacing/>
        <w:rPr>
          <w:lang w:val="nl-NL"/>
        </w:rPr>
      </w:pPr>
    </w:p>
    <w:p w14:paraId="382B9001" w14:textId="784F8BAD" w:rsidR="003428F4" w:rsidRDefault="003428F4" w:rsidP="008D079B">
      <w:pPr>
        <w:contextualSpacing/>
        <w:rPr>
          <w:b/>
          <w:bCs/>
          <w:lang w:val="nl-NL"/>
        </w:rPr>
      </w:pPr>
      <w:r w:rsidRPr="003428F4">
        <w:rPr>
          <w:b/>
          <w:bCs/>
          <w:lang w:val="nl-NL"/>
        </w:rPr>
        <w:t>Verandering regels EU</w:t>
      </w:r>
    </w:p>
    <w:p w14:paraId="60FC3D9F" w14:textId="6F02289D" w:rsidR="00BE497F" w:rsidRPr="00BE497F" w:rsidRDefault="00BE497F" w:rsidP="008D079B">
      <w:pPr>
        <w:rPr>
          <w:lang w:val="nl-NL"/>
        </w:rPr>
      </w:pPr>
      <w:r w:rsidRPr="0068621E">
        <w:rPr>
          <w:lang w:val="nl-NL"/>
        </w:rPr>
        <w:t xml:space="preserve">Een Environmental Product </w:t>
      </w:r>
      <w:proofErr w:type="spellStart"/>
      <w:r w:rsidRPr="0068621E">
        <w:rPr>
          <w:lang w:val="nl-NL"/>
        </w:rPr>
        <w:t>Declaration</w:t>
      </w:r>
      <w:proofErr w:type="spellEnd"/>
      <w:r w:rsidRPr="0068621E">
        <w:rPr>
          <w:lang w:val="nl-NL"/>
        </w:rPr>
        <w:t xml:space="preserve"> (EPD) is een in de wet- of regelgeving gestandaardiseerde manier om de resultaten van een LCA eenduidig</w:t>
      </w:r>
      <w:r w:rsidR="007410A1">
        <w:rPr>
          <w:lang w:val="nl-NL"/>
        </w:rPr>
        <w:t xml:space="preserve"> </w:t>
      </w:r>
      <w:r w:rsidRPr="0068621E">
        <w:rPr>
          <w:lang w:val="nl-NL"/>
        </w:rPr>
        <w:t>te communiceren.</w:t>
      </w:r>
      <w:r>
        <w:rPr>
          <w:lang w:val="nl-NL"/>
        </w:rPr>
        <w:t xml:space="preserve"> Alleen met een geverifieerde EPD kan een product worden opgenomen in de database van de NMD. De EPD dient als bewijslast voor (o.a.) een MPG berekening.</w:t>
      </w:r>
    </w:p>
    <w:p w14:paraId="20D0AA60" w14:textId="6193561B" w:rsidR="003428F4" w:rsidRDefault="00C360E7" w:rsidP="008D079B">
      <w:pPr>
        <w:contextualSpacing/>
        <w:rPr>
          <w:lang w:val="nl-NL"/>
        </w:rPr>
      </w:pPr>
      <w:r>
        <w:rPr>
          <w:lang w:val="nl-NL"/>
        </w:rPr>
        <w:t xml:space="preserve">Op productniveau: </w:t>
      </w:r>
      <w:r w:rsidR="0023772A">
        <w:rPr>
          <w:lang w:val="nl-NL"/>
        </w:rPr>
        <w:t xml:space="preserve">Er komt vanaf 2026 een verscherping van de </w:t>
      </w:r>
      <w:r w:rsidR="002B10BE">
        <w:rPr>
          <w:lang w:val="nl-NL"/>
        </w:rPr>
        <w:t xml:space="preserve">Construction Product </w:t>
      </w:r>
      <w:proofErr w:type="spellStart"/>
      <w:r w:rsidR="002B10BE">
        <w:rPr>
          <w:lang w:val="nl-NL"/>
        </w:rPr>
        <w:t>Regulations</w:t>
      </w:r>
      <w:proofErr w:type="spellEnd"/>
      <w:r w:rsidR="002B10BE">
        <w:rPr>
          <w:lang w:val="nl-NL"/>
        </w:rPr>
        <w:t xml:space="preserve"> (CPR). Vanuit de CPR wordt een set </w:t>
      </w:r>
      <w:r w:rsidR="0090193D">
        <w:rPr>
          <w:lang w:val="nl-NL"/>
        </w:rPr>
        <w:t xml:space="preserve">indicatoren en bijbehorende </w:t>
      </w:r>
      <w:r w:rsidR="00B654DF">
        <w:rPr>
          <w:lang w:val="nl-NL"/>
        </w:rPr>
        <w:t xml:space="preserve">milieuprestaties geïdentificeerd waaraan lidstaten van de EU zich moeten houden. Deze </w:t>
      </w:r>
      <w:r w:rsidR="0090193D">
        <w:rPr>
          <w:lang w:val="nl-NL"/>
        </w:rPr>
        <w:t xml:space="preserve">indicatoren zijn gedefinieerd aan de hand van </w:t>
      </w:r>
      <w:proofErr w:type="spellStart"/>
      <w:r w:rsidR="0090193D">
        <w:rPr>
          <w:lang w:val="nl-NL"/>
        </w:rPr>
        <w:t>EPD’s</w:t>
      </w:r>
      <w:proofErr w:type="spellEnd"/>
      <w:r w:rsidR="00607D17">
        <w:rPr>
          <w:lang w:val="nl-NL"/>
        </w:rPr>
        <w:t xml:space="preserve">. En dit is vanaf dat moment de enige manier waarop lidstaten milieuprestaties mogen </w:t>
      </w:r>
      <w:r w:rsidR="00FF2ECC">
        <w:rPr>
          <w:lang w:val="nl-NL"/>
        </w:rPr>
        <w:t>communiceren</w:t>
      </w:r>
      <w:r w:rsidR="00BE497F">
        <w:rPr>
          <w:lang w:val="nl-NL"/>
        </w:rPr>
        <w:t xml:space="preserve">. </w:t>
      </w:r>
      <w:r w:rsidR="006C2338">
        <w:rPr>
          <w:lang w:val="nl-NL"/>
        </w:rPr>
        <w:t xml:space="preserve">Naast deze vereiste manier van notulering van milieuprestaties mogen lidstaten echter ook nog complementaire regels toevoegen (zoals de </w:t>
      </w:r>
      <w:r w:rsidR="00C723F3">
        <w:rPr>
          <w:lang w:val="nl-NL"/>
        </w:rPr>
        <w:t>uitbreiding</w:t>
      </w:r>
      <w:r w:rsidR="006C2338">
        <w:rPr>
          <w:lang w:val="nl-NL"/>
        </w:rPr>
        <w:t xml:space="preserve"> van 11 categorieën naar 19 categorieën in de EPD in Nederland).</w:t>
      </w:r>
    </w:p>
    <w:p w14:paraId="290A96B0" w14:textId="77777777" w:rsidR="006D10DA" w:rsidRDefault="006D10DA" w:rsidP="008D079B">
      <w:pPr>
        <w:rPr>
          <w:lang w:val="nl-NL"/>
        </w:rPr>
      </w:pPr>
    </w:p>
    <w:p w14:paraId="3EFF5E30" w14:textId="77777777" w:rsidR="006D10DA" w:rsidRDefault="006D10DA" w:rsidP="008D079B">
      <w:pPr>
        <w:rPr>
          <w:lang w:val="nl-NL"/>
        </w:rPr>
      </w:pPr>
    </w:p>
    <w:p w14:paraId="0DE22BB5" w14:textId="77777777" w:rsidR="006D10DA" w:rsidRDefault="006D10DA" w:rsidP="008D079B">
      <w:pPr>
        <w:rPr>
          <w:lang w:val="nl-NL"/>
        </w:rPr>
      </w:pPr>
    </w:p>
    <w:p w14:paraId="4844C809" w14:textId="77777777" w:rsidR="00F67EC0" w:rsidRDefault="00F67EC0" w:rsidP="008D079B">
      <w:pPr>
        <w:rPr>
          <w:lang w:val="nl-NL"/>
        </w:rPr>
      </w:pPr>
    </w:p>
    <w:p w14:paraId="444B297B" w14:textId="77777777" w:rsidR="00C723F3" w:rsidRDefault="00C723F3" w:rsidP="008D079B">
      <w:pPr>
        <w:rPr>
          <w:lang w:val="nl-NL"/>
        </w:rPr>
      </w:pPr>
    </w:p>
    <w:p w14:paraId="4A435E06" w14:textId="77777777" w:rsidR="00F67EC0" w:rsidRDefault="00F67EC0" w:rsidP="008D079B">
      <w:pPr>
        <w:rPr>
          <w:lang w:val="nl-NL"/>
        </w:rPr>
      </w:pPr>
    </w:p>
    <w:p w14:paraId="20FF8E09" w14:textId="77777777" w:rsidR="001E6BA0" w:rsidRDefault="001E6BA0" w:rsidP="008D079B">
      <w:pPr>
        <w:rPr>
          <w:lang w:val="nl-NL"/>
        </w:rPr>
      </w:pPr>
    </w:p>
    <w:p w14:paraId="0BBC08BC" w14:textId="77777777" w:rsidR="001E6BA0" w:rsidRDefault="001E6BA0" w:rsidP="008D079B">
      <w:pPr>
        <w:rPr>
          <w:lang w:val="nl-NL"/>
        </w:rPr>
      </w:pPr>
    </w:p>
    <w:p w14:paraId="0AF844FC" w14:textId="77777777" w:rsidR="001E6BA0" w:rsidRDefault="001E6BA0" w:rsidP="008D079B">
      <w:pPr>
        <w:rPr>
          <w:lang w:val="nl-NL"/>
        </w:rPr>
      </w:pPr>
    </w:p>
    <w:p w14:paraId="1D119826" w14:textId="77777777" w:rsidR="001E6BA0" w:rsidRDefault="001E6BA0" w:rsidP="008D079B">
      <w:pPr>
        <w:rPr>
          <w:lang w:val="nl-NL"/>
        </w:rPr>
      </w:pPr>
    </w:p>
    <w:p w14:paraId="6428A0B0" w14:textId="77777777" w:rsidR="001E6BA0" w:rsidRDefault="001E6BA0" w:rsidP="008D079B">
      <w:pPr>
        <w:rPr>
          <w:lang w:val="nl-NL"/>
        </w:rPr>
      </w:pPr>
    </w:p>
    <w:p w14:paraId="57AACDAC" w14:textId="77777777" w:rsidR="006D10DA" w:rsidRDefault="006D10DA" w:rsidP="008D079B">
      <w:pPr>
        <w:rPr>
          <w:lang w:val="nl-NL"/>
        </w:rPr>
      </w:pPr>
    </w:p>
    <w:p w14:paraId="1812B745" w14:textId="77777777" w:rsidR="006D10DA" w:rsidRDefault="006D10DA" w:rsidP="008D079B">
      <w:pPr>
        <w:rPr>
          <w:lang w:val="nl-NL"/>
        </w:rPr>
      </w:pPr>
    </w:p>
    <w:p w14:paraId="14EA4A47" w14:textId="1D95EFCC" w:rsidR="00311EC7" w:rsidRPr="006D10DA" w:rsidRDefault="00311EC7" w:rsidP="0013704C">
      <w:pPr>
        <w:rPr>
          <w:b/>
          <w:bCs/>
          <w:lang w:val="nl-NL"/>
        </w:rPr>
      </w:pPr>
      <w:r w:rsidRPr="006D10DA">
        <w:rPr>
          <w:b/>
          <w:bCs/>
          <w:lang w:val="nl-NL"/>
        </w:rPr>
        <w:lastRenderedPageBreak/>
        <w:t>Bronnen:</w:t>
      </w:r>
    </w:p>
    <w:p w14:paraId="783E23E2" w14:textId="6ECA785A" w:rsidR="00DE0F6D" w:rsidRDefault="00DE0F6D" w:rsidP="0013704C">
      <w:pPr>
        <w:rPr>
          <w:lang w:val="nl-NL"/>
        </w:rPr>
      </w:pPr>
      <w:r w:rsidRPr="00DE0F6D">
        <w:rPr>
          <w:lang w:val="nl-NL"/>
        </w:rPr>
        <w:t>DGBC &amp; Gideon. (2023, April). Een toekomstbestendige milieuprestatie gebouwen.</w:t>
      </w:r>
    </w:p>
    <w:p w14:paraId="20E720D9" w14:textId="35AF06C3" w:rsidR="006C6E5E" w:rsidRDefault="006C6E5E" w:rsidP="0013704C">
      <w:pPr>
        <w:rPr>
          <w:lang w:val="nl-NL"/>
        </w:rPr>
      </w:pPr>
      <w:r w:rsidRPr="006C6E5E">
        <w:rPr>
          <w:lang w:val="nl-NL"/>
        </w:rPr>
        <w:t>Gideon. (2022). Verkenning doorontwikkeling MPG MKI stelsel.</w:t>
      </w:r>
    </w:p>
    <w:p w14:paraId="23E5FCEC" w14:textId="0D780A18" w:rsidR="00311EC7" w:rsidRDefault="003E3D9F" w:rsidP="0013704C">
      <w:pPr>
        <w:rPr>
          <w:lang w:val="nl-NL"/>
        </w:rPr>
      </w:pPr>
      <w:proofErr w:type="spellStart"/>
      <w:r w:rsidRPr="003E3D9F">
        <w:t>Stichting</w:t>
      </w:r>
      <w:proofErr w:type="spellEnd"/>
      <w:r w:rsidRPr="003E3D9F">
        <w:t xml:space="preserve"> WE </w:t>
      </w:r>
      <w:proofErr w:type="spellStart"/>
      <w:r w:rsidRPr="003E3D9F">
        <w:t>Adviseurs</w:t>
      </w:r>
      <w:proofErr w:type="spellEnd"/>
      <w:r w:rsidRPr="003E3D9F">
        <w:t xml:space="preserve">. (2023a, July). </w:t>
      </w:r>
      <w:r w:rsidRPr="003E3D9F">
        <w:rPr>
          <w:lang w:val="nl-NL"/>
        </w:rPr>
        <w:t>Rapport Stichting WE Adviseurs Verkenning.</w:t>
      </w:r>
    </w:p>
    <w:p w14:paraId="65DBB0CC" w14:textId="77777777" w:rsidR="00BD3465" w:rsidRDefault="00BD3465" w:rsidP="0013704C">
      <w:pPr>
        <w:rPr>
          <w:lang w:val="nl-NL"/>
        </w:rPr>
      </w:pPr>
    </w:p>
    <w:p w14:paraId="1C794BCF" w14:textId="77777777" w:rsidR="002B7D9B" w:rsidRPr="0013704C" w:rsidRDefault="002B7D9B" w:rsidP="0013704C">
      <w:pPr>
        <w:rPr>
          <w:lang w:val="nl-NL"/>
        </w:rPr>
      </w:pPr>
    </w:p>
    <w:sectPr w:rsidR="002B7D9B" w:rsidRPr="0013704C" w:rsidSect="00B76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04"/>
    <w:rsid w:val="00102959"/>
    <w:rsid w:val="00123504"/>
    <w:rsid w:val="0013704C"/>
    <w:rsid w:val="001644D0"/>
    <w:rsid w:val="001702CA"/>
    <w:rsid w:val="00176DFC"/>
    <w:rsid w:val="00180396"/>
    <w:rsid w:val="001E6BA0"/>
    <w:rsid w:val="00201A1B"/>
    <w:rsid w:val="0023772A"/>
    <w:rsid w:val="002B10BE"/>
    <w:rsid w:val="002B7D9B"/>
    <w:rsid w:val="002C5605"/>
    <w:rsid w:val="003031F2"/>
    <w:rsid w:val="00311EC7"/>
    <w:rsid w:val="003428F4"/>
    <w:rsid w:val="003C4B16"/>
    <w:rsid w:val="003E3D9F"/>
    <w:rsid w:val="004063A3"/>
    <w:rsid w:val="004203ED"/>
    <w:rsid w:val="00452A86"/>
    <w:rsid w:val="00485034"/>
    <w:rsid w:val="004F670A"/>
    <w:rsid w:val="00512FD9"/>
    <w:rsid w:val="005235B1"/>
    <w:rsid w:val="0056338D"/>
    <w:rsid w:val="00607D17"/>
    <w:rsid w:val="00643ED5"/>
    <w:rsid w:val="0068621E"/>
    <w:rsid w:val="006B3970"/>
    <w:rsid w:val="006C2338"/>
    <w:rsid w:val="006C6E5E"/>
    <w:rsid w:val="006D10DA"/>
    <w:rsid w:val="007363C4"/>
    <w:rsid w:val="007410A1"/>
    <w:rsid w:val="00757C3E"/>
    <w:rsid w:val="00865838"/>
    <w:rsid w:val="008D079B"/>
    <w:rsid w:val="0090193D"/>
    <w:rsid w:val="00A36FEA"/>
    <w:rsid w:val="00A70B7F"/>
    <w:rsid w:val="00AC5DE3"/>
    <w:rsid w:val="00AD4722"/>
    <w:rsid w:val="00B01199"/>
    <w:rsid w:val="00B5719D"/>
    <w:rsid w:val="00B654DF"/>
    <w:rsid w:val="00B76188"/>
    <w:rsid w:val="00BC0D09"/>
    <w:rsid w:val="00BD3465"/>
    <w:rsid w:val="00BE497F"/>
    <w:rsid w:val="00BE54B6"/>
    <w:rsid w:val="00C360E7"/>
    <w:rsid w:val="00C723F3"/>
    <w:rsid w:val="00CC63F4"/>
    <w:rsid w:val="00D259C3"/>
    <w:rsid w:val="00DE0F6D"/>
    <w:rsid w:val="00E362CD"/>
    <w:rsid w:val="00E36504"/>
    <w:rsid w:val="00E75872"/>
    <w:rsid w:val="00EB030C"/>
    <w:rsid w:val="00F2058D"/>
    <w:rsid w:val="00F67EC0"/>
    <w:rsid w:val="00FC2C9C"/>
    <w:rsid w:val="00FF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AECE7"/>
  <w15:chartTrackingRefBased/>
  <w15:docId w15:val="{05DF5C81-67B1-433B-83E8-4F09AD20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Laurien van Houten</dc:creator>
  <cp:keywords/>
  <dc:description/>
  <cp:lastModifiedBy>Laurien van Houten</cp:lastModifiedBy>
  <cp:revision>60</cp:revision>
  <dcterms:created xsi:type="dcterms:W3CDTF">2024-02-23T10:34:00Z</dcterms:created>
  <dcterms:modified xsi:type="dcterms:W3CDTF">2024-05-27T18:53:00Z</dcterms:modified>
</cp:coreProperties>
</file>