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hw-02-solution</w:t>
      </w:r>
    </w:p>
    <w:bookmarkStart w:id="24" w:name="exercise-1"/>
    <w:p>
      <w:pPr>
        <w:pStyle w:val="Heading2"/>
      </w:pPr>
      <w:r>
        <w:t xml:space="preserve">Exercise 1:</w:t>
      </w:r>
    </w:p>
    <w:bookmarkStart w:id="20" w:name="a."/>
    <w:p>
      <w:pPr>
        <w:pStyle w:val="Heading3"/>
      </w:pPr>
      <w:r>
        <w:t xml:space="preserve">a.</w:t>
      </w:r>
    </w:p>
    <w:p>
      <w:pPr>
        <w:pStyle w:val="SourceCode"/>
      </w:pP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p>
    <w:p>
      <w:pPr>
        <w:pStyle w:val="SourceCode"/>
      </w:pPr>
      <w:r>
        <w:rPr>
          <w:rStyle w:val="VerbatimChar"/>
        </w:rPr>
        <w:t xml:space="preserve">[1] 0.001953125</w:t>
      </w:r>
    </w:p>
    <w:p>
      <w:pPr>
        <w:pStyle w:val="FirstParagraph"/>
      </w:pPr>
      <w:r>
        <w:t xml:space="preserve">Since we assume the women are selected independently (randomly), we can simply multiply 1/8 three times to find the probability.</w:t>
      </w:r>
    </w:p>
    <w:bookmarkEnd w:id="20"/>
    <w:bookmarkStart w:id="21" w:name="b."/>
    <w:p>
      <w:pPr>
        <w:pStyle w:val="Heading3"/>
      </w:pPr>
      <w:r>
        <w:t xml:space="preserve">b.</w:t>
      </w:r>
    </w:p>
    <w:p>
      <w:pPr>
        <w:pStyle w:val="SourceCode"/>
      </w:pPr>
      <w:r>
        <w:rPr>
          <w:rStyle w:val="NormalTok"/>
        </w:rPr>
        <w:t xml:space="preserve">(</w:t>
      </w:r>
      <w:r>
        <w:rPr>
          <w:rStyle w:val="DecValTok"/>
        </w:rPr>
        <w:t xml:space="preserve">7</w:t>
      </w:r>
      <w:r>
        <w:rPr>
          <w:rStyle w:val="SpecialCharTok"/>
        </w:rPr>
        <w:t xml:space="preserve">/</w:t>
      </w:r>
      <w:r>
        <w:rPr>
          <w:rStyle w:val="DecValTok"/>
        </w:rPr>
        <w:t xml:space="preserve">8</w:t>
      </w:r>
      <w:r>
        <w:rPr>
          <w:rStyle w:val="NormalTok"/>
        </w:rPr>
        <w:t xml:space="preserve">)</w:t>
      </w:r>
      <w:r>
        <w:rPr>
          <w:rStyle w:val="SpecialCharTok"/>
        </w:rPr>
        <w:t xml:space="preserve">^</w:t>
      </w:r>
      <w:r>
        <w:rPr>
          <w:rStyle w:val="DecValTok"/>
        </w:rPr>
        <w:t xml:space="preserve">3</w:t>
      </w:r>
    </w:p>
    <w:p>
      <w:pPr>
        <w:pStyle w:val="SourceCode"/>
      </w:pPr>
      <w:r>
        <w:rPr>
          <w:rStyle w:val="VerbatimChar"/>
        </w:rPr>
        <w:t xml:space="preserve">[1] 0.6699219</w:t>
      </w:r>
    </w:p>
    <w:p>
      <w:pPr>
        <w:pStyle w:val="FirstParagraph"/>
      </w:pPr>
      <w:r>
        <w:t xml:space="preserve">Similarly here, since we assume the women are selected independently, we can multiply the probability of not having the disease three times.</w:t>
      </w:r>
    </w:p>
    <w:bookmarkEnd w:id="21"/>
    <w:bookmarkStart w:id="22" w:name="c."/>
    <w:p>
      <w:pPr>
        <w:pStyle w:val="Heading3"/>
      </w:pPr>
      <w:r>
        <w:t xml:space="preserve">c. </w:t>
      </w:r>
    </w:p>
    <w:p>
      <w:pPr>
        <w:pStyle w:val="SourceCode"/>
      </w:pPr>
      <w:r>
        <w:rPr>
          <w:rStyle w:val="DecValTok"/>
        </w:rPr>
        <w:t xml:space="preserve">1</w:t>
      </w:r>
      <w:r>
        <w:rPr>
          <w:rStyle w:val="SpecialCharTok"/>
        </w:rPr>
        <w:t xml:space="preserve">-</w:t>
      </w:r>
      <w:r>
        <w:rPr>
          <w:rStyle w:val="NormalTok"/>
        </w:rPr>
        <w:t xml:space="preserve">(</w:t>
      </w:r>
      <w:r>
        <w:rPr>
          <w:rStyle w:val="DecValTok"/>
        </w:rPr>
        <w:t xml:space="preserve">7</w:t>
      </w:r>
      <w:r>
        <w:rPr>
          <w:rStyle w:val="SpecialCharTok"/>
        </w:rPr>
        <w:t xml:space="preserve">/</w:t>
      </w:r>
      <w:r>
        <w:rPr>
          <w:rStyle w:val="DecValTok"/>
        </w:rPr>
        <w:t xml:space="preserve">8</w:t>
      </w:r>
      <w:r>
        <w:rPr>
          <w:rStyle w:val="NormalTok"/>
        </w:rPr>
        <w:t xml:space="preserve">)</w:t>
      </w:r>
      <w:r>
        <w:rPr>
          <w:rStyle w:val="SpecialCharTok"/>
        </w:rPr>
        <w:t xml:space="preserve">*</w:t>
      </w:r>
      <w:r>
        <w:rPr>
          <w:rStyle w:val="NormalTok"/>
        </w:rPr>
        <w:t xml:space="preserve">(</w:t>
      </w:r>
      <w:r>
        <w:rPr>
          <w:rStyle w:val="DecValTok"/>
        </w:rPr>
        <w:t xml:space="preserve">7</w:t>
      </w:r>
      <w:r>
        <w:rPr>
          <w:rStyle w:val="SpecialCharTok"/>
        </w:rPr>
        <w:t xml:space="preserve">/</w:t>
      </w:r>
      <w:r>
        <w:rPr>
          <w:rStyle w:val="DecValTok"/>
        </w:rPr>
        <w:t xml:space="preserve">8</w:t>
      </w:r>
      <w:r>
        <w:rPr>
          <w:rStyle w:val="NormalTok"/>
        </w:rPr>
        <w:t xml:space="preserve">)</w:t>
      </w:r>
      <w:r>
        <w:rPr>
          <w:rStyle w:val="SpecialCharTok"/>
        </w:rPr>
        <w:t xml:space="preserve">*</w:t>
      </w:r>
      <w:r>
        <w:rPr>
          <w:rStyle w:val="NormalTok"/>
        </w:rPr>
        <w:t xml:space="preserve">(</w:t>
      </w:r>
      <w:r>
        <w:rPr>
          <w:rStyle w:val="DecValTok"/>
        </w:rPr>
        <w:t xml:space="preserve">7</w:t>
      </w:r>
      <w:r>
        <w:rPr>
          <w:rStyle w:val="SpecialCharTok"/>
        </w:rPr>
        <w:t xml:space="preserve">/</w:t>
      </w:r>
      <w:r>
        <w:rPr>
          <w:rStyle w:val="DecValTok"/>
        </w:rPr>
        <w:t xml:space="preserve">8</w:t>
      </w:r>
      <w:r>
        <w:rPr>
          <w:rStyle w:val="NormalTok"/>
        </w:rPr>
        <w:t xml:space="preserve">)</w:t>
      </w:r>
    </w:p>
    <w:p>
      <w:pPr>
        <w:pStyle w:val="SourceCode"/>
      </w:pPr>
      <w:r>
        <w:rPr>
          <w:rStyle w:val="VerbatimChar"/>
        </w:rPr>
        <w:t xml:space="preserve">[1] 0.3300781</w:t>
      </w:r>
    </w:p>
    <w:p>
      <w:pPr>
        <w:pStyle w:val="FirstParagraph"/>
      </w:pPr>
      <w:r>
        <w:t xml:space="preserve">Using our answer from part (b), P(at least one develops breast cancer (BC)) = 1- P(none develop breast cancer).</w:t>
      </w:r>
    </w:p>
    <w:bookmarkEnd w:id="22"/>
    <w:bookmarkStart w:id="23" w:name="d."/>
    <w:p>
      <w:pPr>
        <w:pStyle w:val="Heading3"/>
      </w:pPr>
      <w:r>
        <w:t xml:space="preserve">d. </w:t>
      </w:r>
    </w:p>
    <w:p>
      <w:pPr>
        <w:pStyle w:val="FirstParagraph"/>
      </w:pPr>
      <m:oMath>
        <m:r>
          <m:t>A</m:t>
        </m:r>
      </m:oMath>
      <w:r>
        <w:t xml:space="preserve"> </w:t>
      </w:r>
      <w:r>
        <w:t xml:space="preserve">= woman develops breast cancer</w:t>
      </w:r>
      <w:r>
        <w:t xml:space="preserve"> </w:t>
      </w:r>
      <m:oMath>
        <m:r>
          <m:t>B</m:t>
        </m:r>
      </m:oMath>
      <w:r>
        <w:t xml:space="preserve"> </w:t>
      </w:r>
      <w:r>
        <w:t xml:space="preserve">= woman has positive family history of breast cancer</w:t>
      </w:r>
    </w:p>
    <w:p>
      <w:pPr>
        <w:pStyle w:val="BodyText"/>
      </w:pPr>
      <w:r>
        <w:t xml:space="preserve">These are not independent because the presence of</w:t>
      </w:r>
      <w:r>
        <w:t xml:space="preserve"> </w:t>
      </w:r>
      <m:oMath>
        <m:r>
          <m:t>B</m:t>
        </m:r>
      </m:oMath>
      <w:r>
        <w:t xml:space="preserve"> </w:t>
      </w:r>
      <w:r>
        <w:t xml:space="preserve">can affect the presence of</w:t>
      </w:r>
      <w:r>
        <w:t xml:space="preserve"> </w:t>
      </w:r>
      <m:oMath>
        <m:r>
          <m:t>A</m:t>
        </m:r>
      </m:oMath>
      <w:r>
        <w:t xml:space="preserve">.</w:t>
      </w:r>
    </w:p>
    <w:bookmarkEnd w:id="23"/>
    <w:bookmarkEnd w:id="24"/>
    <w:bookmarkStart w:id="29" w:name="exercise-2"/>
    <w:p>
      <w:pPr>
        <w:pStyle w:val="Heading2"/>
      </w:pPr>
      <w:r>
        <w:t xml:space="preserve">Exercise 2</w:t>
      </w:r>
    </w:p>
    <w:bookmarkStart w:id="25" w:name="a.-1"/>
    <w:p>
      <w:pPr>
        <w:pStyle w:val="Heading3"/>
      </w:pPr>
      <w:r>
        <w:t xml:space="preserve">a.</w:t>
      </w:r>
    </w:p>
    <w:p>
      <w:pPr>
        <w:pStyle w:val="FirstParagraph"/>
      </w:pPr>
      <m:oMath>
        <m:r>
          <m:t>A</m:t>
        </m:r>
      </m:oMath>
      <w:r>
        <w:t xml:space="preserve"> </w:t>
      </w:r>
      <w:r>
        <w:t xml:space="preserve">= older sibling has chicken pox</w:t>
      </w:r>
      <w:r>
        <w:t xml:space="preserve"> </w:t>
      </w:r>
      <m:oMath>
        <m:r>
          <m:t>B</m:t>
        </m:r>
      </m:oMath>
      <w:r>
        <w:t xml:space="preserve"> </w:t>
      </w:r>
      <w:r>
        <w:t xml:space="preserve">= younger sibling has chicken pox</w:t>
      </w:r>
    </w:p>
    <w:p>
      <w:pPr>
        <w:pStyle w:val="BodyText"/>
      </w:pPr>
      <w:r>
        <w:t xml:space="preserve">Two events are considered independent if</w:t>
      </w:r>
    </w:p>
    <w:p>
      <w:pPr>
        <w:pStyle w:val="BodyText"/>
      </w:pPr>
      <m:oMathPara>
        <m:oMathParaPr>
          <m:jc m:val="center"/>
        </m:oMathParaP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m:oMathPara>
    </w:p>
    <w:p>
      <w:pPr>
        <w:pStyle w:val="FirstParagraph"/>
      </w:pPr>
      <m:oMath>
        <m:r>
          <m:t>A</m:t>
        </m:r>
      </m:oMath>
      <w:r>
        <w:t xml:space="preserve"> </w:t>
      </w:r>
      <w:r>
        <w:t xml:space="preserve">and</w:t>
      </w:r>
      <w:r>
        <w:t xml:space="preserve"> </w:t>
      </w:r>
      <m:oMath>
        <m:r>
          <m:t>B</m:t>
        </m:r>
      </m:oMath>
      <w:r>
        <w:t xml:space="preserve"> </w:t>
      </w:r>
      <w:r>
        <w:t xml:space="preserve">are not independent, because we have that</w:t>
      </w:r>
      <w:r>
        <w:t xml:space="preserve"> </w:t>
      </w:r>
      <m:oMath>
        <m:r>
          <m:t>P</m:t>
        </m:r>
        <m:d>
          <m:dPr>
            <m:begChr m:val="("/>
            <m:sepChr m:val=""/>
            <m:endChr m:val=")"/>
            <m:grow/>
          </m:dPr>
          <m:e>
            <m:r>
              <m:t>A</m:t>
            </m:r>
          </m:e>
        </m:d>
        <m:r>
          <m:rPr>
            <m:sty m:val="p"/>
          </m:rPr>
          <m:t>×</m:t>
        </m:r>
        <m:r>
          <m:t>P</m:t>
        </m:r>
        <m:d>
          <m:dPr>
            <m:begChr m:val="("/>
            <m:sepChr m:val=""/>
            <m:endChr m:val=")"/>
            <m:grow/>
          </m:dPr>
          <m:e>
            <m:r>
              <m:t>B</m:t>
            </m:r>
          </m:e>
        </m:d>
      </m:oMath>
      <w:r>
        <w:t xml:space="preserve"> </w:t>
      </w:r>
      <w:r>
        <w:t xml:space="preserve">=</w:t>
      </w:r>
      <w:r>
        <w:t xml:space="preserve"> </w:t>
      </w:r>
      <w:r>
        <w:rPr>
          <w:rStyle w:val="VerbatimChar"/>
        </w:rPr>
        <w:t xml:space="preserve">(0.5)*(0.5) = 0.25</w:t>
      </w:r>
      <w:r>
        <w:t xml:space="preserve">, which is less than 0.35 in the data. This makes sense, because if one sibling has chicken pox, it may be more probable that the other sibling gets chicken pox, since we might assume they are sharing space in a home.</w:t>
      </w:r>
    </w:p>
    <w:bookmarkEnd w:id="25"/>
    <w:bookmarkStart w:id="26" w:name="b.-1"/>
    <w:p>
      <w:pPr>
        <w:pStyle w:val="Heading3"/>
      </w:pPr>
      <w:r>
        <w:t xml:space="preserve">b.</w:t>
      </w:r>
    </w:p>
    <w:p>
      <w:pPr>
        <w:pStyle w:val="FirstParagraph"/>
      </w:pPr>
      <w:r>
        <w:t xml:space="preserve">We want to find</w:t>
      </w:r>
      <w:r>
        <w:t xml:space="preserve"> </w:t>
      </w:r>
      <m:oMath>
        <m:r>
          <m:t>P</m:t>
        </m:r>
        <m:d>
          <m:dPr>
            <m:begChr m:val="("/>
            <m:sepChr m:val=""/>
            <m:endChr m:val=")"/>
            <m:grow/>
          </m:dPr>
          <m:e>
            <m:r>
              <m:t>B</m:t>
            </m:r>
            <m:r>
              <m:rPr>
                <m:sty m:val="p"/>
              </m:rPr>
              <m:t>|</m:t>
            </m:r>
            <m:r>
              <m:t>A</m:t>
            </m:r>
          </m:e>
        </m:d>
        <m:r>
          <m:rPr>
            <m:sty m:val="p"/>
          </m:rPr>
          <m:t>=</m:t>
        </m:r>
        <m:f>
          <m:fPr>
            <m:type m:val="bar"/>
          </m:fPr>
          <m:num>
            <m:r>
              <m:t>P</m:t>
            </m:r>
            <m:d>
              <m:dPr>
                <m:begChr m:val="("/>
                <m:sepChr m:val=""/>
                <m:endChr m:val=")"/>
                <m:grow/>
              </m:dPr>
              <m:e>
                <m:r>
                  <m:t>A</m:t>
                </m:r>
                <m:r>
                  <m:rPr>
                    <m:sty m:val="p"/>
                  </m:rPr>
                  <m:t>∩</m:t>
                </m:r>
                <m:r>
                  <m:t>B</m:t>
                </m:r>
              </m:e>
            </m:d>
          </m:num>
          <m:den>
            <m:r>
              <m:t>P</m:t>
            </m:r>
            <m:d>
              <m:dPr>
                <m:begChr m:val="("/>
                <m:sepChr m:val=""/>
                <m:endChr m:val=")"/>
                <m:grow/>
              </m:dPr>
              <m:e>
                <m:r>
                  <m:t>B</m:t>
                </m:r>
              </m:e>
            </m:d>
          </m:den>
        </m:f>
      </m:oMath>
    </w:p>
    <w:p>
      <w:pPr>
        <w:pStyle w:val="BodyText"/>
      </w:pPr>
      <m:oMath>
        <m:r>
          <m:t>P</m:t>
        </m:r>
        <m:d>
          <m:dPr>
            <m:begChr m:val="("/>
            <m:sepChr m:val=""/>
            <m:endChr m:val=")"/>
            <m:grow/>
          </m:dPr>
          <m:e>
            <m:r>
              <m:t>A</m:t>
            </m:r>
          </m:e>
        </m:d>
        <m:r>
          <m:rPr>
            <m:sty m:val="p"/>
          </m:rPr>
          <m:t>=</m:t>
        </m:r>
        <m:r>
          <m:t>.5</m:t>
        </m:r>
      </m:oMath>
      <w:r>
        <w:t xml:space="preserve"> </w:t>
      </w:r>
      <m:oMath>
        <m:r>
          <m:t>P</m:t>
        </m:r>
        <m:d>
          <m:dPr>
            <m:begChr m:val="("/>
            <m:sepChr m:val=""/>
            <m:endChr m:val=")"/>
            <m:grow/>
          </m:dPr>
          <m:e>
            <m:r>
              <m:t>B</m:t>
            </m:r>
          </m:e>
        </m:d>
        <m:r>
          <m:rPr>
            <m:sty m:val="p"/>
          </m:rPr>
          <m:t>=</m:t>
        </m:r>
        <m:r>
          <m:t>.5</m:t>
        </m:r>
      </m:oMath>
      <w:r>
        <w:t xml:space="preserve"> </w:t>
      </w:r>
      <m:oMath>
        <m:r>
          <m:t>P</m:t>
        </m:r>
        <m:d>
          <m:dPr>
            <m:begChr m:val="("/>
            <m:sepChr m:val=""/>
            <m:endChr m:val=")"/>
            <m:grow/>
          </m:dPr>
          <m:e>
            <m:r>
              <m:t>A</m:t>
            </m:r>
            <m:r>
              <m:rPr>
                <m:sty m:val="p"/>
              </m:rPr>
              <m:t>∩</m:t>
            </m:r>
            <m:r>
              <m:t>B</m:t>
            </m:r>
          </m:e>
        </m:d>
        <m:r>
          <m:rPr>
            <m:sty m:val="p"/>
          </m:rPr>
          <m:t>=</m:t>
        </m:r>
        <m:r>
          <m:t>.35</m:t>
        </m:r>
      </m:oMath>
    </w:p>
    <w:p>
      <w:pPr>
        <w:pStyle w:val="BodyText"/>
      </w:pPr>
      <w:r>
        <w:t xml:space="preserve">So we have that the answer is</w:t>
      </w:r>
      <w:r>
        <w:t xml:space="preserve"> </w:t>
      </w:r>
      <w:r>
        <w:rPr>
          <w:rStyle w:val="VerbatimChar"/>
        </w:rPr>
        <w:t xml:space="preserve">(.35)/(.5)</w:t>
      </w:r>
      <w:r>
        <w:t xml:space="preserve">.</w:t>
      </w:r>
    </w:p>
    <w:p>
      <w:pPr>
        <w:pStyle w:val="SourceCode"/>
      </w:pPr>
      <w:r>
        <w:rPr>
          <w:rStyle w:val="NormalTok"/>
        </w:rPr>
        <w:t xml:space="preserve">.</w:t>
      </w:r>
      <w:r>
        <w:rPr>
          <w:rStyle w:val="DecValTok"/>
        </w:rPr>
        <w:t xml:space="preserve">35</w:t>
      </w:r>
      <w:r>
        <w:rPr>
          <w:rStyle w:val="SpecialCharTok"/>
        </w:rPr>
        <w:t xml:space="preserve">/</w:t>
      </w:r>
      <w:r>
        <w:rPr>
          <w:rStyle w:val="NormalTok"/>
        </w:rPr>
        <w:t xml:space="preserve">.</w:t>
      </w:r>
      <w:r>
        <w:rPr>
          <w:rStyle w:val="DecValTok"/>
        </w:rPr>
        <w:t xml:space="preserve">5</w:t>
      </w:r>
    </w:p>
    <w:p>
      <w:pPr>
        <w:pStyle w:val="SourceCode"/>
      </w:pPr>
      <w:r>
        <w:rPr>
          <w:rStyle w:val="VerbatimChar"/>
        </w:rPr>
        <w:t xml:space="preserve">[1] 0.7</w:t>
      </w:r>
    </w:p>
    <w:bookmarkEnd w:id="26"/>
    <w:bookmarkStart w:id="27" w:name="c.-1"/>
    <w:p>
      <w:pPr>
        <w:pStyle w:val="Heading3"/>
      </w:pPr>
      <w:r>
        <w:t xml:space="preserve">c. </w:t>
      </w:r>
    </w:p>
    <w:p>
      <w:pPr>
        <w:pStyle w:val="FirstParagraph"/>
      </w:pPr>
      <w:r>
        <w:t xml:space="preserve">We just calcuated that</w:t>
      </w:r>
      <w:r>
        <w:t xml:space="preserve"> </w:t>
      </w:r>
      <w:r>
        <w:rPr>
          <w:rStyle w:val="VerbatimChar"/>
        </w:rPr>
        <w:t xml:space="preserve">P(B|A) = 0.70</w:t>
      </w:r>
      <w:r>
        <w:t xml:space="preserve">.</w:t>
      </w:r>
    </w:p>
    <w:p>
      <w:pPr>
        <w:pStyle w:val="BodyText"/>
      </w:pPr>
      <m:oMath>
        <m:r>
          <m:t>P</m:t>
        </m:r>
        <m:d>
          <m:dPr>
            <m:begChr m:val="("/>
            <m:sepChr m:val=""/>
            <m:endChr m:val=")"/>
            <m:grow/>
          </m:dPr>
          <m:e>
            <m:sSup>
              <m:e>
                <m:r>
                  <m:t>B</m:t>
                </m:r>
              </m:e>
              <m:sup>
                <m:r>
                  <m:t>C</m:t>
                </m:r>
              </m:sup>
            </m:sSup>
            <m:r>
              <m:rPr>
                <m:sty m:val="p"/>
              </m:rPr>
              <m:t>|</m:t>
            </m:r>
            <m:r>
              <m:t>A</m:t>
            </m:r>
          </m:e>
        </m:d>
        <m:r>
          <m:rPr>
            <m:sty m:val="p"/>
          </m:rPr>
          <m:t>=</m:t>
        </m:r>
        <m:r>
          <m:t>1</m:t>
        </m:r>
        <m:r>
          <m:rPr>
            <m:sty m:val="p"/>
          </m:rPr>
          <m:t>−</m:t>
        </m:r>
        <m:r>
          <m:t>P</m:t>
        </m:r>
        <m:d>
          <m:dPr>
            <m:begChr m:val="("/>
            <m:sepChr m:val=""/>
            <m:endChr m:val=")"/>
            <m:grow/>
          </m:dPr>
          <m:e>
            <m:r>
              <m:t>B</m:t>
            </m:r>
            <m:r>
              <m:rPr>
                <m:sty m:val="p"/>
              </m:rPr>
              <m:t>|</m:t>
            </m:r>
            <m:r>
              <m:t>A</m:t>
            </m:r>
          </m:e>
        </m:d>
      </m:oMath>
    </w:p>
    <w:p>
      <w:pPr>
        <w:pStyle w:val="BodyText"/>
      </w:pPr>
      <w:r>
        <w:t xml:space="preserve">So, the answer is</w:t>
      </w:r>
      <w:r>
        <w:t xml:space="preserve"> </w:t>
      </w:r>
      <w:r>
        <w:rPr>
          <w:rStyle w:val="VerbatimChar"/>
        </w:rPr>
        <w:t xml:space="preserve">1-0.70</w:t>
      </w:r>
      <w:r>
        <w:t xml:space="preserve">.</w:t>
      </w:r>
    </w:p>
    <w:p>
      <w:pPr>
        <w:pStyle w:val="SourceCode"/>
      </w:pPr>
      <w:r>
        <w:rPr>
          <w:rStyle w:val="DecValTok"/>
        </w:rPr>
        <w:t xml:space="preserve">1</w:t>
      </w:r>
      <w:r>
        <w:rPr>
          <w:rStyle w:val="FloatTok"/>
        </w:rPr>
        <w:t xml:space="preserve">-0.70</w:t>
      </w:r>
    </w:p>
    <w:p>
      <w:pPr>
        <w:pStyle w:val="SourceCode"/>
      </w:pPr>
      <w:r>
        <w:rPr>
          <w:rStyle w:val="VerbatimChar"/>
        </w:rPr>
        <w:t xml:space="preserve">[1] 0.3</w:t>
      </w:r>
    </w:p>
    <w:bookmarkEnd w:id="27"/>
    <w:bookmarkStart w:id="28" w:name="d.-1"/>
    <w:p>
      <w:pPr>
        <w:pStyle w:val="Heading3"/>
      </w:pPr>
      <w:r>
        <w:t xml:space="preserve">d. </w:t>
      </w:r>
    </w:p>
    <w:p>
      <w:pPr>
        <w:pStyle w:val="FirstParagraph"/>
      </w:pPr>
      <w:r>
        <w:t xml:space="preserve">We want to find</w:t>
      </w:r>
    </w:p>
    <w:p>
      <w:pPr>
        <w:pStyle w:val="BodyText"/>
      </w:pPr>
      <m:oMath>
        <m:r>
          <m:t>P</m:t>
        </m:r>
        <m:d>
          <m:dPr>
            <m:begChr m:val="("/>
            <m:sepChr m:val=""/>
            <m:endChr m:val=")"/>
            <m:grow/>
          </m:dPr>
          <m:e>
            <m:r>
              <m:t>B</m:t>
            </m:r>
            <m:r>
              <m:rPr>
                <m:sty m:val="p"/>
              </m:rPr>
              <m:t>|</m:t>
            </m:r>
            <m:sSup>
              <m:e>
                <m:r>
                  <m:t>A</m:t>
                </m:r>
              </m:e>
              <m:sup>
                <m:r>
                  <m:t>C</m:t>
                </m:r>
              </m:sup>
            </m:sSup>
          </m:e>
        </m:d>
      </m:oMath>
    </w:p>
    <w:p>
      <w:pPr>
        <w:pStyle w:val="BodyText"/>
      </w:pPr>
      <w:r>
        <w:t xml:space="preserve">We know that</w:t>
      </w:r>
      <w:r>
        <w:t xml:space="preserve"> </w:t>
      </w:r>
      <w:r>
        <w:rPr>
          <w:rStyle w:val="VerbatimChar"/>
        </w:rPr>
        <w:t xml:space="preserve">P(A^C) = 1-P(A) = 1-0.5 = 0.5</w:t>
      </w:r>
    </w:p>
    <w:p>
      <w:pPr>
        <w:pStyle w:val="BodyText"/>
      </w:pPr>
      <w:r>
        <w:t xml:space="preserve">Now, we use the law of total probability.</w:t>
      </w:r>
    </w:p>
    <w:p>
      <w:pPr>
        <w:pStyle w:val="BodyText"/>
      </w:pPr>
      <m:oMath>
        <m:r>
          <m:t>P</m:t>
        </m:r>
        <m:d>
          <m:dPr>
            <m:begChr m:val="("/>
            <m:sepChr m:val=""/>
            <m:endChr m:val=")"/>
            <m:grow/>
          </m:dPr>
          <m:e>
            <m:r>
              <m:t>B</m:t>
            </m:r>
          </m:e>
        </m:d>
        <m:r>
          <m:rPr>
            <m:sty m:val="p"/>
          </m:rPr>
          <m:t>=</m:t>
        </m:r>
        <m:r>
          <m:t>P</m:t>
        </m:r>
        <m:d>
          <m:dPr>
            <m:begChr m:val="("/>
            <m:sepChr m:val=""/>
            <m:endChr m:val=")"/>
            <m:grow/>
          </m:dPr>
          <m:e>
            <m:r>
              <m:t>B</m:t>
            </m:r>
            <m:r>
              <m:rPr>
                <m:sty m:val="p"/>
              </m:rPr>
              <m:t>∩</m:t>
            </m:r>
            <m:r>
              <m:t>A</m:t>
            </m:r>
          </m:e>
        </m:d>
        <m:r>
          <m:rPr>
            <m:sty m:val="p"/>
          </m:rPr>
          <m:t>+</m:t>
        </m:r>
        <m:r>
          <m:t>P</m:t>
        </m:r>
        <m:d>
          <m:dPr>
            <m:begChr m:val="("/>
            <m:sepChr m:val=""/>
            <m:endChr m:val=")"/>
            <m:grow/>
          </m:dPr>
          <m:e>
            <m:r>
              <m:t>B</m:t>
            </m:r>
            <m:r>
              <m:rPr>
                <m:sty m:val="p"/>
              </m:rPr>
              <m:t>∩</m:t>
            </m:r>
            <m:sSup>
              <m:e>
                <m:r>
                  <m:t>A</m:t>
                </m:r>
              </m:e>
              <m:sup>
                <m:r>
                  <m:t>C</m:t>
                </m:r>
              </m:sup>
            </m:sSup>
          </m:e>
        </m:d>
      </m:oMath>
    </w:p>
    <w:p>
      <w:pPr>
        <w:pStyle w:val="BodyText"/>
      </w:pPr>
      <w:r>
        <w:t xml:space="preserve">So we have that</w:t>
      </w:r>
      <w:r>
        <w:t xml:space="preserve"> </w:t>
      </w:r>
      <m:oMath>
        <m:r>
          <m:t>0.5</m:t>
        </m:r>
        <m:r>
          <m:rPr>
            <m:sty m:val="p"/>
          </m:rPr>
          <m:t>=</m:t>
        </m:r>
        <m:r>
          <m:t>0.35</m:t>
        </m:r>
        <m:r>
          <m:rPr>
            <m:sty m:val="p"/>
          </m:rPr>
          <m:t>+</m:t>
        </m:r>
        <m:r>
          <m:t>P</m:t>
        </m:r>
        <m:d>
          <m:dPr>
            <m:begChr m:val="("/>
            <m:sepChr m:val=""/>
            <m:endChr m:val=")"/>
            <m:grow/>
          </m:dPr>
          <m:e>
            <m:r>
              <m:t>B</m:t>
            </m:r>
            <m:r>
              <m:rPr>
                <m:sty m:val="p"/>
              </m:rPr>
              <m:t>∩</m:t>
            </m:r>
            <m:sSup>
              <m:e>
                <m:r>
                  <m:t>A</m:t>
                </m:r>
              </m:e>
              <m:sup>
                <m:r>
                  <m:t>C</m:t>
                </m:r>
              </m:sup>
            </m:sSup>
          </m:e>
        </m:d>
      </m:oMath>
      <w:r>
        <w:t xml:space="preserve"> </w:t>
      </w:r>
      <w:r>
        <w:t xml:space="preserve">and</w:t>
      </w:r>
      <w:r>
        <w:t xml:space="preserve"> </w:t>
      </w:r>
      <m:oMath>
        <m:r>
          <m:t>P</m:t>
        </m:r>
        <m:d>
          <m:dPr>
            <m:begChr m:val="("/>
            <m:sepChr m:val=""/>
            <m:endChr m:val=")"/>
            <m:grow/>
          </m:dPr>
          <m:e>
            <m:r>
              <m:t>B</m:t>
            </m:r>
            <m:r>
              <m:rPr>
                <m:sty m:val="p"/>
              </m:rPr>
              <m:t>∩</m:t>
            </m:r>
            <m:sSup>
              <m:e>
                <m:r>
                  <m:t>A</m:t>
                </m:r>
              </m:e>
              <m:sup>
                <m:r>
                  <m:t>C</m:t>
                </m:r>
              </m:sup>
            </m:sSup>
          </m:e>
        </m:d>
        <m:r>
          <m:rPr>
            <m:sty m:val="p"/>
          </m:rPr>
          <m:t>=</m:t>
        </m:r>
        <m:r>
          <m:t>0.5</m:t>
        </m:r>
        <m:r>
          <m:rPr>
            <m:sty m:val="p"/>
          </m:rPr>
          <m:t>−</m:t>
        </m:r>
        <m:r>
          <m:t>0.35</m:t>
        </m:r>
        <m:r>
          <m:rPr>
            <m:sty m:val="p"/>
          </m:rPr>
          <m:t>=</m:t>
        </m:r>
        <m:r>
          <m:t>0.15</m:t>
        </m:r>
      </m:oMath>
    </w:p>
    <w:p>
      <w:pPr>
        <w:pStyle w:val="BodyText"/>
      </w:pPr>
      <w:r>
        <w:t xml:space="preserve">Now, we apply Bayes’ Rule to find</w:t>
      </w:r>
      <w:r>
        <w:t xml:space="preserve"> </w:t>
      </w:r>
      <m:oMath>
        <m:r>
          <m:t>P</m:t>
        </m:r>
        <m:d>
          <m:dPr>
            <m:begChr m:val="("/>
            <m:sepChr m:val=""/>
            <m:endChr m:val=")"/>
            <m:grow/>
          </m:dPr>
          <m:e>
            <m:r>
              <m:t>B</m:t>
            </m:r>
            <m:r>
              <m:rPr>
                <m:sty m:val="p"/>
              </m:rPr>
              <m:t>|</m:t>
            </m:r>
            <m:sSup>
              <m:e>
                <m:r>
                  <m:t>A</m:t>
                </m:r>
              </m:e>
              <m:sup>
                <m:r>
                  <m:t>C</m:t>
                </m:r>
              </m:sup>
            </m:sSup>
          </m:e>
        </m:d>
      </m:oMath>
      <w:r>
        <w:t xml:space="preserve">.</w:t>
      </w:r>
    </w:p>
    <w:p>
      <w:pPr>
        <w:pStyle w:val="BodyText"/>
      </w:pPr>
      <m:oMath>
        <m:r>
          <m:t>P</m:t>
        </m:r>
        <m:d>
          <m:dPr>
            <m:begChr m:val="("/>
            <m:sepChr m:val=""/>
            <m:endChr m:val=")"/>
            <m:grow/>
          </m:dPr>
          <m:e>
            <m:r>
              <m:t>B</m:t>
            </m:r>
            <m:r>
              <m:rPr>
                <m:sty m:val="p"/>
              </m:rPr>
              <m:t>|</m:t>
            </m:r>
            <m:sSup>
              <m:e>
                <m:r>
                  <m:t>A</m:t>
                </m:r>
              </m:e>
              <m:sup>
                <m:r>
                  <m:t>C</m:t>
                </m:r>
              </m:sup>
            </m:sSup>
          </m:e>
        </m:d>
        <m:r>
          <m:rPr>
            <m:sty m:val="p"/>
          </m:rPr>
          <m:t>=</m:t>
        </m:r>
        <m:f>
          <m:fPr>
            <m:type m:val="bar"/>
          </m:fPr>
          <m:num>
            <m:r>
              <m:t>P</m:t>
            </m:r>
            <m:d>
              <m:dPr>
                <m:begChr m:val="("/>
                <m:sepChr m:val=""/>
                <m:endChr m:val=")"/>
                <m:grow/>
              </m:dPr>
              <m:e>
                <m:r>
                  <m:t>B</m:t>
                </m:r>
                <m:r>
                  <m:rPr>
                    <m:sty m:val="p"/>
                  </m:rPr>
                  <m:t>∩</m:t>
                </m:r>
                <m:sSup>
                  <m:e>
                    <m:r>
                      <m:t>A</m:t>
                    </m:r>
                  </m:e>
                  <m:sup>
                    <m:r>
                      <m:t>C</m:t>
                    </m:r>
                  </m:sup>
                </m:sSup>
              </m:e>
            </m:d>
          </m:num>
          <m:den>
            <m:r>
              <m:t>P</m:t>
            </m:r>
            <m:d>
              <m:dPr>
                <m:begChr m:val="("/>
                <m:sepChr m:val=""/>
                <m:endChr m:val=")"/>
                <m:grow/>
              </m:dPr>
              <m:e>
                <m:sSup>
                  <m:e>
                    <m:r>
                      <m:t>A</m:t>
                    </m:r>
                  </m:e>
                  <m:sup>
                    <m:r>
                      <m:t>C</m:t>
                    </m:r>
                  </m:sup>
                </m:sSup>
              </m:e>
            </m:d>
          </m:den>
        </m:f>
      </m:oMath>
    </w:p>
    <w:p>
      <w:pPr>
        <w:pStyle w:val="BodyText"/>
      </w:pPr>
      <w:r>
        <w:t xml:space="preserve">=</w:t>
      </w:r>
      <w:r>
        <w:t xml:space="preserve"> </w:t>
      </w:r>
      <w:r>
        <w:rPr>
          <w:rStyle w:val="VerbatimChar"/>
        </w:rPr>
        <w:t xml:space="preserve">0.15/0.5</w:t>
      </w:r>
    </w:p>
    <w:p>
      <w:pPr>
        <w:pStyle w:val="SourceCode"/>
      </w:pPr>
      <w:r>
        <w:rPr>
          <w:rStyle w:val="FloatTok"/>
        </w:rPr>
        <w:t xml:space="preserve">0.15</w:t>
      </w:r>
      <w:r>
        <w:rPr>
          <w:rStyle w:val="SpecialCharTok"/>
        </w:rPr>
        <w:t xml:space="preserve">/</w:t>
      </w:r>
      <w:r>
        <w:rPr>
          <w:rStyle w:val="FloatTok"/>
        </w:rPr>
        <w:t xml:space="preserve">0.5</w:t>
      </w:r>
    </w:p>
    <w:p>
      <w:pPr>
        <w:pStyle w:val="SourceCode"/>
      </w:pPr>
      <w:r>
        <w:rPr>
          <w:rStyle w:val="VerbatimChar"/>
        </w:rPr>
        <w:t xml:space="preserve">[1] 0.3</w:t>
      </w:r>
    </w:p>
    <w:bookmarkEnd w:id="28"/>
    <w:bookmarkEnd w:id="29"/>
    <w:bookmarkStart w:id="30" w:name="exercise-3"/>
    <w:p>
      <w:pPr>
        <w:pStyle w:val="Heading2"/>
      </w:pPr>
      <w:r>
        <w:t xml:space="preserve">Exercise 3</w:t>
      </w:r>
    </w:p>
    <w:p>
      <w:pPr>
        <w:pStyle w:val="FirstParagraph"/>
      </w:pPr>
      <w:r>
        <w:t xml:space="preserve">Sensitivity = P(Test + | Disease +) = P(Test + and Disease +) / P(Disease +) =</w:t>
      </w:r>
    </w:p>
    <w:p>
      <w:pPr>
        <w:pStyle w:val="FirstParagraph"/>
      </w:pPr>
      <w:r>
        <w:t xml:space="preserve">Specificity = P(Test - | Disease -) = P(Test - and Disease -) / P(Disease -) = 135/150</w:t>
      </w:r>
    </w:p>
    <w:p>
      <w:pPr>
        <w:pStyle w:val="Compact"/>
        <w:numPr>
          <w:ilvl w:val="0"/>
          <w:numId w:val="1003"/>
        </w:numPr>
      </w:pPr>
      <w:r>
        <w:t xml:space="preserve">(Anything reasonable OK here, can grade this for completion.) Specificity is the probability of testing negative for strep infection, given the person does not actually have the infection. In this case, specificity is 135/150.</w:t>
      </w:r>
    </w:p>
    <w:bookmarkEnd w:id="30"/>
    <w:bookmarkStart w:id="33" w:name="exercise-4"/>
    <w:p>
      <w:pPr>
        <w:pStyle w:val="Heading2"/>
      </w:pPr>
      <w:r>
        <w:t xml:space="preserve">Exercise 4</w:t>
      </w:r>
    </w:p>
    <w:bookmarkStart w:id="31" w:name="a.-2"/>
    <w:p>
      <w:pPr>
        <w:pStyle w:val="Heading3"/>
      </w:pPr>
      <w:r>
        <w:t xml:space="preserve">a.</w:t>
      </w:r>
    </w:p>
    <w:p>
      <w:pPr>
        <w:pStyle w:val="FirstParagraph"/>
      </w:pPr>
      <w:r>
        <w:t xml:space="preserve">If we are willing to accept a false positive rate of at most 10%, that means that we are willing to accept a Specificity as low as 90%, since False Positive Rate = 1 - specificity. The true positive rate is also known as the specificity. So, if we look at 90% on the x-axis, the corresponding specificity (or TPR) on the y-axis is about .2. So, we can attain</w:t>
      </w:r>
      <w:r>
        <w:t xml:space="preserve"> </w:t>
      </w:r>
      <w:r>
        <w:rPr>
          <w:b/>
          <w:bCs/>
        </w:rPr>
        <w:t xml:space="preserve">about 20% true positive rate</w:t>
      </w:r>
      <w:r>
        <w:t xml:space="preserve"> </w:t>
      </w:r>
      <w:r>
        <w:t xml:space="preserve">with that stipulation.</w:t>
      </w:r>
    </w:p>
    <w:p>
      <w:pPr>
        <w:pStyle w:val="BodyText"/>
      </w:pPr>
      <w:r>
        <w:t xml:space="preserve">Note: The ROC curve represents the trade-off between sensitivity (TPR) and specificity (related to FPR). Higher TPR values are better, but they usually come at the cost of increasing FPR, depending on the threshold set by the classifier.</w:t>
      </w:r>
    </w:p>
    <w:bookmarkEnd w:id="31"/>
    <w:bookmarkStart w:id="32" w:name="b.-2"/>
    <w:p>
      <w:pPr>
        <w:pStyle w:val="Heading3"/>
      </w:pPr>
      <w:r>
        <w:t xml:space="preserve">b.</w:t>
      </w:r>
    </w:p>
    <w:p>
      <w:pPr>
        <w:pStyle w:val="FirstParagraph"/>
      </w:pPr>
      <w:r>
        <w:t xml:space="preserve">We would rather use S100</w:t>
      </w:r>
      <m:oMath>
        <m:r>
          <m:t>β</m:t>
        </m:r>
      </m:oMath>
      <w:r>
        <w:t xml:space="preserve">, because the sensitivity levels are consistently higher compared to NDKA given a certain level of specificity.</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hw-02-solution</dc:title>
  <dc:creator/>
  <cp:keywords/>
  <dcterms:created xsi:type="dcterms:W3CDTF">2026-09-13T14:05:29Z</dcterms:created>
  <dcterms:modified xsi:type="dcterms:W3CDTF">2026-09-13T14:05:29Z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