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527D3607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7470B2">
        <w:rPr>
          <w:i/>
          <w:sz w:val="24"/>
          <w:szCs w:val="24"/>
        </w:rPr>
        <w:t>February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349CF024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 xml:space="preserve">Laurits R. Christensen Professor of Economics,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2A92EE0B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57DFC37E" w14:textId="5F1C3375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  <w:p w14:paraId="54F7CB0A" w14:textId="19046526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6C80A98D" w14:textId="57908A73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1F451682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22786A31" w14:textId="46AB11D1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008E9719" w14:textId="134CB03E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NBER EEE Spring Meeting (discussant), Banff Microeconomics Conference, Montreal Summer Conference on IO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C6184BE" w14:textId="18673AC7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53E6AA68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IIOC 2024,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E5295F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77D9" w14:textId="77777777" w:rsidR="00E5295F" w:rsidRDefault="00E5295F" w:rsidP="00D968B2">
      <w:r>
        <w:separator/>
      </w:r>
    </w:p>
  </w:endnote>
  <w:endnote w:type="continuationSeparator" w:id="0">
    <w:p w14:paraId="361373A0" w14:textId="77777777" w:rsidR="00E5295F" w:rsidRDefault="00E5295F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C485" w14:textId="77777777" w:rsidR="00E5295F" w:rsidRDefault="00E5295F" w:rsidP="00D968B2">
      <w:r>
        <w:separator/>
      </w:r>
    </w:p>
  </w:footnote>
  <w:footnote w:type="continuationSeparator" w:id="0">
    <w:p w14:paraId="4BE013B9" w14:textId="77777777" w:rsidR="00E5295F" w:rsidRDefault="00E5295F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14</cp:revision>
  <cp:lastPrinted>2023-03-02T11:54:00Z</cp:lastPrinted>
  <dcterms:created xsi:type="dcterms:W3CDTF">2023-03-02T11:54:00Z</dcterms:created>
  <dcterms:modified xsi:type="dcterms:W3CDTF">2024-02-18T03:06:00Z</dcterms:modified>
</cp:coreProperties>
</file>