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BESCHRIJVING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TITEL</w:t>
      </w:r>
    </w:p>
    <w:p>
      <w:pPr>
        <w:spacing w:line="360" w:lineRule="auto" w:after="0" w:before="0"/>
      </w:pPr>
      <w:r>
        <w:rPr>
          <w:sz w:val="20"/>
        </w:rPr>
        <w:t>5</w:t>
      </w:r>
      <w:r>
        <w:tab/>
      </w:r>
      <w:r>
        <w:rPr>
          <w:rFonts w:ascii="Times New Roman" w:hAnsi="Times New Roman"/>
          <w:sz w:val="22"/>
        </w:rPr>
        <w:t>Intelligente Database Scanner met Adaptieve Sampling en Prioritering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TECHNISCH GEBIED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De uitvinding betreft een computersysteem voor de geautomatiseerde analyse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van databases met het oog op gegevensbescherming en privacy-compliance.</w:t>
      </w:r>
    </w:p>
    <w:p>
      <w:pPr>
        <w:spacing w:line="360" w:lineRule="auto" w:after="0" w:before="0"/>
      </w:pPr>
      <w:r>
        <w:rPr>
          <w:sz w:val="20"/>
        </w:rPr>
        <w:t>10</w:t>
      </w:r>
      <w:r>
        <w:tab/>
      </w:r>
      <w:r>
        <w:rPr>
          <w:rFonts w:ascii="Times New Roman" w:hAnsi="Times New Roman"/>
          <w:sz w:val="22"/>
        </w:rPr>
        <w:t>Het systeem ondersteunt meerdere relationele database-engines, waaronder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PostgreSQL, MySQL en Microsoft SQL Server, en is ingericht voor het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detecteren van persoonsgegevens.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Het systeem maakt gebruik van prioriteit-gebaseerde tabelselectie en</w:t>
      </w:r>
    </w:p>
    <w:p>
      <w:pPr>
        <w:spacing w:line="360" w:lineRule="auto" w:after="0" w:before="0"/>
      </w:pPr>
      <w:r>
        <w:rPr>
          <w:sz w:val="20"/>
        </w:rPr>
        <w:t>15</w:t>
      </w:r>
      <w:r>
        <w:tab/>
      </w:r>
      <w:r>
        <w:rPr>
          <w:rFonts w:ascii="Times New Roman" w:hAnsi="Times New Roman"/>
          <w:sz w:val="22"/>
        </w:rPr>
        <w:t>adaptieve bemonsteringsstrategieën om efficiënt gegevens te analyseren.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Daarnaast voorziet de uitvinding in detectie en validatie van specifiek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Nederlandse identificatiegegevens, waaronder Burgerservicenummers (BSN).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ACHTERGROND VAN DE UITVINDING</w:t>
      </w:r>
    </w:p>
    <w:p>
      <w:pPr>
        <w:spacing w:line="360" w:lineRule="auto" w:after="0" w:before="0"/>
      </w:pPr>
      <w:r>
        <w:rPr>
          <w:sz w:val="20"/>
        </w:rPr>
        <w:t>20</w:t>
      </w:r>
      <w:r>
        <w:tab/>
      </w:r>
      <w:r>
        <w:rPr>
          <w:rFonts w:ascii="Times New Roman" w:hAnsi="Times New Roman"/>
          <w:sz w:val="22"/>
        </w:rPr>
        <w:t>Databases bevatten doorgaans grote hoeveelheden persoonsgegevens die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verspreid zijn over meerdere tabellen. Bestaande databasescanners voeren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vaak lineaire of volledige scans uit zonder onderscheid te maken tussen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relevante en minder relevante tabellen.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25</w:t>
      </w:r>
      <w:r>
        <w:tab/>
      </w:r>
      <w:r>
        <w:rPr>
          <w:rFonts w:ascii="Times New Roman" w:hAnsi="Times New Roman"/>
          <w:sz w:val="22"/>
        </w:rPr>
        <w:t>Dit leidt tot lange verwerkingstijden en een verhoogde belasting van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systeembronnen. Bovendien ontbreekt in veel bestaande oplossingen een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specifieke validatie voor nationale identificatiegegevens, zoals 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wiskundige 11-proef die vereist is voor BSN-nummers in Nederland.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30</w:t>
      </w:r>
      <w:r>
        <w:tab/>
      </w:r>
      <w:r>
        <w:rPr>
          <w:rFonts w:ascii="Times New Roman" w:hAnsi="Times New Roman"/>
          <w:sz w:val="22"/>
        </w:rPr>
        <w:t>SAMENVATTING VAN DE UITVINDING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De uitvinding voorziet in een intelligent databasescansysteem dat tabellen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binnen een database analyseert en prioriteitsscores toekent op basis van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tabel- en kolomnamen. Op grond van deze scores wordt een geschikte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bemonsteringsstrategie geselecteerd.</w:t>
      </w:r>
    </w:p>
    <w:p>
      <w:pPr>
        <w:spacing w:line="360" w:lineRule="auto" w:after="0" w:before="0"/>
      </w:pPr>
      <w:r>
        <w:rPr>
          <w:sz w:val="20"/>
        </w:rPr>
        <w:t>35</w:t>
      </w:r>
      <w:r>
        <w:tab/>
      </w:r>
      <w:r>
        <w:rPr>
          <w:rFonts w:ascii="Times New Roman" w:hAnsi="Times New Roman"/>
          <w:sz w:val="22"/>
        </w:rPr>
        <w:t>Afhankelijk van het risicoprofiel van de database worden verschillende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bemonsteringsniveaus toegepast, variërend van beperkte tot uitgebreide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analyse. Het systeem maakt gebruik van parallelle verwerking om meerdere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tabellen gelijktijdig te analyseren, waardoor de efficiëntie wordt verbeterd.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40</w:t>
      </w:r>
      <w:r>
        <w:tab/>
      </w:r>
      <w:r>
        <w:rPr>
          <w:rFonts w:ascii="Times New Roman" w:hAnsi="Times New Roman"/>
          <w:sz w:val="22"/>
        </w:rPr>
        <w:t>KORTE BESCHRIJVING VAN DE TEKENINGEN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Figuur 1 toont een overzicht van de multi-engine database scanner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architectuur volgens de uitvinding. Het intelligente databasescannerplatform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(100) ondersteunt drie database-engines: PostgreSQL via psycopg2 (110),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MySQL via connector (120), en Microsoft SQL Server via pyodbc (130). Het</w:t>
      </w:r>
    </w:p>
    <w:p>
      <w:pPr>
        <w:spacing w:line="360" w:lineRule="auto" w:after="0" w:before="0"/>
      </w:pPr>
      <w:r>
        <w:rPr>
          <w:sz w:val="20"/>
        </w:rPr>
        <w:t>45</w:t>
      </w:r>
      <w:r>
        <w:tab/>
      </w:r>
      <w:r>
        <w:rPr>
          <w:rFonts w:ascii="Times New Roman" w:hAnsi="Times New Roman"/>
          <w:sz w:val="22"/>
        </w:rPr>
        <w:t>systeem omvat een prioriteringsmodule (140), parallelle workers (150) en een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BSN-validatiemodule (160).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Figuur 2 toont het prioriteitsscorealgoritme. De tabelprioriteitsberekening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(200) omvat stap 1 voor de basisscore (210) en stap 2 voor de kolomboost</w:t>
      </w:r>
    </w:p>
    <w:p>
      <w:pPr>
        <w:spacing w:line="360" w:lineRule="auto" w:after="0" w:before="0"/>
      </w:pPr>
      <w:r>
        <w:rPr>
          <w:sz w:val="20"/>
        </w:rPr>
        <w:t>50</w:t>
      </w:r>
      <w:r>
        <w:tab/>
      </w:r>
      <w:r>
        <w:rPr>
          <w:rFonts w:ascii="Times New Roman" w:hAnsi="Times New Roman"/>
          <w:sz w:val="22"/>
        </w:rPr>
        <w:t>(220). De uiteindelijke scoreberekening (230) combineert deze waarden met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een maximum van 3,5. Een voorbeeld (240) toont hoe een tabel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"customer_profiles" met email- en telefoonkolommen de hoogste prioriteit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verkrijgt.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55</w:t>
      </w:r>
      <w:r>
        <w:tab/>
      </w:r>
      <w:r>
        <w:rPr>
          <w:rFonts w:ascii="Times New Roman" w:hAnsi="Times New Roman"/>
          <w:sz w:val="22"/>
        </w:rPr>
        <w:t>Figuur 3 toont de adaptieve bemonsteringsstrategieën. 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scanmodus-beslisboom (300) selecteert tussen snelle modus (310), slimme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modus (320), en diepe modus (330). Invoerparameters (340) bepalen 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selectie. De tijdsbesparing (350) bedraagt tot 60% reductie.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60</w:t>
      </w:r>
      <w:r>
        <w:tab/>
      </w:r>
      <w:r>
        <w:rPr>
          <w:rFonts w:ascii="Times New Roman" w:hAnsi="Times New Roman"/>
          <w:sz w:val="22"/>
        </w:rPr>
        <w:t>Figuur 4 toont de parallelle scanningworkflow. De ThreadPoolExecutor (400,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410) verdeelt het werk over drie workers (420, 421, 422). 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resultaataggregatie (430) combineert alle bevindingen.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Figuur 5 toont de BSN-checksumvalidatie volgens de Nederlandse 11-proef.</w:t>
      </w:r>
    </w:p>
    <w:p>
      <w:pPr>
        <w:spacing w:line="360" w:lineRule="auto" w:after="0" w:before="0"/>
      </w:pPr>
      <w:r>
        <w:rPr>
          <w:sz w:val="20"/>
        </w:rPr>
        <w:t>65</w:t>
      </w:r>
      <w:r>
        <w:tab/>
      </w:r>
      <w:r>
        <w:rPr>
          <w:rFonts w:ascii="Times New Roman" w:hAnsi="Times New Roman"/>
          <w:sz w:val="22"/>
        </w:rPr>
        <w:t>Het algoritme (500) past de formule (510) toe: checksum = (d0×9) + (d1×8)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+ (d2×7) + (d3×6) + (d4×5) + (d5×4) + (d6×3) + (d7×2) - (d8×1). 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validatie (520) controleert of checksum mod 11 = 0. De detectiestroom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(530) omvat regex-patroonherkenning, checksumvalidatie 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GDPR-classificatie.</w:t>
      </w:r>
    </w:p>
    <w:p>
      <w:pPr>
        <w:spacing w:line="360" w:lineRule="auto" w:after="0" w:before="0"/>
      </w:pPr>
      <w:r>
        <w:rPr>
          <w:sz w:val="20"/>
        </w:rPr>
        <w:t>70</w:t>
      </w:r>
      <w:r>
        <w:tab/>
      </w:r>
      <w:r>
        <w:rPr>
          <w:rFonts w:ascii="Times New Roman" w:hAnsi="Times New Roman"/>
          <w:sz w:val="22"/>
        </w:rPr>
        <w:t>Figuur 6 toont de schema-intelligentieanalyse. De databaserisicobepaling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(600) categoriseert tabellen op prioriteit (610) in hoog, gemiddeld en laag.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De risicoscoreberekening (620) weegt hoge tabellen drievoudig. De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risiconivelabepaling (630) bepaalt het algehele risiconiveau.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75</w:t>
      </w:r>
      <w:r>
        <w:tab/>
      </w:r>
      <w:r>
        <w:rPr>
          <w:rFonts w:ascii="Times New Roman" w:hAnsi="Times New Roman"/>
          <w:sz w:val="22"/>
        </w:rPr>
        <w:t>Figuur 7 toont een vergelijkingsmatrix (700) met de waardepropositie (710)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van het systeem ten opzichte van concurrenten en handmatige methoden.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GEDETAILLEERDE BESCHRIJVING VAN DE UITVINDING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Verwijzend naar Figuur 1, omvat het intelligente databasescannerplatform</w:t>
      </w:r>
    </w:p>
    <w:p>
      <w:pPr>
        <w:spacing w:line="360" w:lineRule="auto" w:after="0" w:before="0"/>
      </w:pPr>
      <w:r>
        <w:rPr>
          <w:sz w:val="20"/>
        </w:rPr>
        <w:t>80</w:t>
      </w:r>
      <w:r>
        <w:tab/>
      </w:r>
      <w:r>
        <w:rPr>
          <w:rFonts w:ascii="Times New Roman" w:hAnsi="Times New Roman"/>
          <w:sz w:val="22"/>
        </w:rPr>
        <w:t>(100) ondersteuning voor drie database-engines. De PostgreSQL-module (110)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maakt gebruik van de psycopg2-bibliotheek voor verbinding. De MySQL-module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(120) gebruikt de officiële MySQL-connector. De Microsoft SQL Server-module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(130) maakt gebruik van pyodbc voor ODBC-verbindingen.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85</w:t>
      </w:r>
      <w:r>
        <w:tab/>
      </w:r>
      <w:r>
        <w:rPr>
          <w:rFonts w:ascii="Times New Roman" w:hAnsi="Times New Roman"/>
          <w:sz w:val="22"/>
        </w:rPr>
        <w:t>De prioriteringsmodule (140) analyseert databaseschema's en kent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prioriteitsscores toe aan tabellen. De parallelle verwerkingsmodule (150)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maakt gebruik van drie gelijktijdige workers. De BSN-validatiemodule (160)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implementeert de Nederlandse 11-proef voor verificatie van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Burgerservicenummers.</w:t>
      </w:r>
    </w:p>
    <w:p>
      <w:pPr>
        <w:spacing w:line="360" w:lineRule="auto" w:after="0" w:before="0"/>
      </w:pPr>
      <w:r>
        <w:rPr>
          <w:sz w:val="20"/>
        </w:rPr>
        <w:t>90</w:t>
      </w:r>
      <w:r>
        <w:tab/>
      </w:r>
      <w:r>
        <w:rPr>
          <w:rFonts w:ascii="Times New Roman" w:hAnsi="Times New Roman"/>
          <w:sz w:val="22"/>
        </w:rPr>
        <w:t>Verwijzend naar Figuur 2, berekent het prioriteitsscorealgoritme (200)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scores in twee stappen. In stap 1 (210) worden basisscores toegekend op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basis van tabelnamen: user/customer tabellen krijgen factor 3,0,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medical/health tabellen factor 3,0, en payment/bank tabellen factor 2,8. In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stap 2 (220) wordt een kolomboost toegevoegd: ssn/bsn/passport kolommen</w:t>
      </w:r>
    </w:p>
    <w:p>
      <w:pPr>
        <w:spacing w:line="360" w:lineRule="auto" w:after="0" w:before="0"/>
      </w:pPr>
      <w:r>
        <w:rPr>
          <w:sz w:val="20"/>
        </w:rPr>
        <w:t>95</w:t>
      </w:r>
      <w:r>
        <w:tab/>
      </w:r>
      <w:r>
        <w:rPr>
          <w:rFonts w:ascii="Times New Roman" w:hAnsi="Times New Roman"/>
          <w:sz w:val="22"/>
        </w:rPr>
        <w:t>krijgen factor 3,0, email/phone kolommen factor 2,5, en address/birth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kolommen factor 2,2. De uiteindelijke berekening (230) is: priority_score =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min(base_score + column_boost, 3.5).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Verwijzend naar Figuur 3, selecteert de beslisboom (300) automatisch de</w:t>
      </w:r>
    </w:p>
    <w:p>
      <w:pPr>
        <w:spacing w:line="360" w:lineRule="auto" w:after="0" w:before="0"/>
      </w:pPr>
      <w:r>
        <w:rPr>
          <w:sz w:val="20"/>
        </w:rPr>
        <w:t>100</w:t>
      </w:r>
      <w:r>
        <w:tab/>
      </w:r>
      <w:r>
        <w:rPr>
          <w:rFonts w:ascii="Times New Roman" w:hAnsi="Times New Roman"/>
          <w:sz w:val="22"/>
        </w:rPr>
        <w:t>optimale bemonsteringsstrategie. De snelle modus (310) wordt gebruikt voor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databases met maximaal 15 tabellen, waarbij 100 rijen per tabel worden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geanalyseerd met 2 parallelle workers. De slimme modus (320) is geschikt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voor databases met maximaal 50 tabellen, met analyse van 300 rijen en 3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workers. De diepe modus (330) wordt ingezet voor databases tot 75 tabellen,</w:t>
      </w:r>
    </w:p>
    <w:p>
      <w:pPr>
        <w:spacing w:line="360" w:lineRule="auto" w:after="0" w:before="0"/>
      </w:pPr>
      <w:r>
        <w:rPr>
          <w:sz w:val="20"/>
        </w:rPr>
        <w:t>105</w:t>
      </w:r>
      <w:r>
        <w:tab/>
      </w:r>
      <w:r>
        <w:rPr>
          <w:rFonts w:ascii="Times New Roman" w:hAnsi="Times New Roman"/>
          <w:sz w:val="22"/>
        </w:rPr>
        <w:t>met 500 rijen en 3 workers.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Verwijzend naar Figuur 4, implementeert de parallelle scanningworkflow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(400) een ThreadPoolExecutor (410) met maximaal 3 workers. Elke worker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(420, 421, 422) verwerkt een afzonderlijke tabel en voert PII-detectie uit.</w:t>
      </w:r>
    </w:p>
    <w:p>
      <w:pPr>
        <w:spacing w:line="360" w:lineRule="auto" w:after="0" w:before="0"/>
      </w:pPr>
      <w:r>
        <w:rPr>
          <w:sz w:val="20"/>
        </w:rPr>
        <w:t>110</w:t>
      </w:r>
      <w:r>
        <w:tab/>
      </w:r>
      <w:r>
        <w:rPr>
          <w:rFonts w:ascii="Times New Roman" w:hAnsi="Times New Roman"/>
          <w:sz w:val="22"/>
        </w:rPr>
        <w:t>De resultaataggregatie (430) combineert alle bevindingen in een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gecentraliseerde resultatenlijst.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Verwijzend naar Figuur 5, implementeert de BSN-validatiemodule het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11-proefalgoritme (500). De formule (510) berekent: checksum = (d0×9) +</w:t>
      </w:r>
    </w:p>
    <w:p>
      <w:pPr>
        <w:spacing w:line="360" w:lineRule="auto" w:after="0" w:before="0"/>
      </w:pPr>
      <w:r>
        <w:rPr>
          <w:sz w:val="20"/>
        </w:rPr>
        <w:t>115</w:t>
      </w:r>
      <w:r>
        <w:tab/>
      </w:r>
      <w:r>
        <w:rPr>
          <w:rFonts w:ascii="Times New Roman" w:hAnsi="Times New Roman"/>
          <w:sz w:val="22"/>
        </w:rPr>
        <w:t>(d1×8) + (d2×7) + (d3×6) + (d4×5) + (d5×4) + (d6×3) + (d7×2) - (d8×1). Een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BSN is geldig indien checksum mod 11 = 0 (520). De detectiestroom (530)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omvat drie stappen: eerst regex-patroonherkenning voor 9-cijferige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nummers, vervolgens checksumvalidatie, en tenslotte GDPR-classificatie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onder Artikel 9.</w:t>
      </w:r>
    </w:p>
    <w:p>
      <w:pPr>
        <w:spacing w:line="360" w:lineRule="auto" w:after="0" w:before="0"/>
      </w:pPr>
      <w:r>
        <w:rPr>
          <w:sz w:val="20"/>
        </w:rPr>
        <w:t>120</w:t>
      </w:r>
      <w:r>
        <w:tab/>
      </w:r>
      <w:r>
        <w:rPr>
          <w:rFonts w:ascii="Times New Roman" w:hAnsi="Times New Roman"/>
          <w:sz w:val="22"/>
        </w:rPr>
        <w:t>EINDE BESCHRIJVING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2"/>
      </w:rPr>
      <w:t>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