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0159" w14:textId="77777777" w:rsidR="00105AC5" w:rsidRPr="00CD207C" w:rsidRDefault="00000000">
      <w:pPr>
        <w:spacing w:after="300"/>
        <w:jc w:val="center"/>
      </w:pPr>
      <w:r w:rsidRPr="00CD207C">
        <w:rPr>
          <w:b/>
          <w:bCs/>
          <w:sz w:val="32"/>
          <w:szCs w:val="32"/>
        </w:rPr>
        <w:t>Chapter 1: Introduction</w:t>
      </w:r>
    </w:p>
    <w:p w14:paraId="3CD8AAC5" w14:textId="3DFA853B" w:rsidR="00105AC5" w:rsidRPr="00CD207C" w:rsidRDefault="00CD207C">
      <w:pPr>
        <w:pStyle w:val="Heading2"/>
        <w:spacing w:before="320" w:after="200"/>
        <w:rPr>
          <w:color w:val="auto"/>
        </w:rPr>
      </w:pPr>
      <w:r w:rsidRPr="00CD207C">
        <w:rPr>
          <w:b/>
          <w:bCs/>
          <w:color w:val="auto"/>
        </w:rPr>
        <w:t xml:space="preserve">1.1 </w:t>
      </w:r>
      <w:r w:rsidRPr="00CD207C">
        <w:rPr>
          <w:b/>
          <w:bCs/>
          <w:color w:val="auto"/>
          <w:sz w:val="28"/>
          <w:szCs w:val="28"/>
        </w:rPr>
        <w:t>Preamble</w:t>
      </w:r>
    </w:p>
    <w:p w14:paraId="2807FB83" w14:textId="3026E28F" w:rsidR="006E4007" w:rsidRDefault="006E4007" w:rsidP="00CD207C">
      <w:pPr>
        <w:spacing w:after="200" w:line="360" w:lineRule="auto"/>
        <w:jc w:val="both"/>
      </w:pPr>
      <w:r w:rsidRPr="006E4007">
        <w:t xml:space="preserve">Financial </w:t>
      </w:r>
      <w:r>
        <w:t>distress and problems</w:t>
      </w:r>
      <w:r w:rsidRPr="006E4007">
        <w:t xml:space="preserve"> in industries requir</w:t>
      </w:r>
      <w:r w:rsidR="007C0B30">
        <w:t>e</w:t>
      </w:r>
      <w:r w:rsidRPr="006E4007">
        <w:t xml:space="preserve"> a lot of capital</w:t>
      </w:r>
      <w:r w:rsidR="007C0B30">
        <w:t xml:space="preserve"> which is</w:t>
      </w:r>
      <w:r w:rsidRPr="006E4007">
        <w:t xml:space="preserve"> not new. The companies in manufacturing, by default, incur </w:t>
      </w:r>
      <w:r w:rsidRPr="006E4007">
        <w:t>huge, fixed</w:t>
      </w:r>
      <w:r w:rsidRPr="006E4007">
        <w:t xml:space="preserve"> costs due to investments in machinery and working capital. </w:t>
      </w:r>
      <w:r w:rsidRPr="006E4007">
        <w:t>These</w:t>
      </w:r>
      <w:r w:rsidRPr="006E4007">
        <w:t xml:space="preserve"> companies depend heavily on external financing because of </w:t>
      </w:r>
      <w:r w:rsidRPr="006E4007">
        <w:t>big, fixed</w:t>
      </w:r>
      <w:r w:rsidRPr="006E4007">
        <w:t xml:space="preserve"> costs. This means that they are depending on external factors such as fluctuating</w:t>
      </w:r>
      <w:r w:rsidR="007C0B30">
        <w:t xml:space="preserve"> or inconsistence</w:t>
      </w:r>
      <w:r w:rsidRPr="006E4007">
        <w:t xml:space="preserve"> cash flows and demand for their products. The issue has been visible on many occasions at the international level. For example, in 2009, General Motors went bankrupt for years of continuous losses. Also, Arrium, the Australian steel producer, had to stop its functioning in 2016 </w:t>
      </w:r>
      <w:r w:rsidRPr="006E4007">
        <w:t>because of</w:t>
      </w:r>
      <w:r w:rsidRPr="006E4007">
        <w:t xml:space="preserve"> falling prices for commodities and debt obligations. Thus, it can be said that companies requiring a lot of capital, despite being involved in different industries and working in different countries, experience similar patterns in their development.</w:t>
      </w:r>
    </w:p>
    <w:p w14:paraId="483E25CA" w14:textId="45B42464" w:rsidR="00CD207C" w:rsidRDefault="006E4007" w:rsidP="00CD207C">
      <w:pPr>
        <w:spacing w:after="200" w:line="360" w:lineRule="auto"/>
        <w:jc w:val="both"/>
      </w:pPr>
      <w:r w:rsidRPr="006E4007">
        <w:t xml:space="preserve">The manufacturing sector in </w:t>
      </w:r>
      <w:r w:rsidR="007C0B30" w:rsidRPr="006E4007">
        <w:t>India have</w:t>
      </w:r>
      <w:r w:rsidRPr="006E4007">
        <w:t xml:space="preserve"> been affected by this situation significantly.</w:t>
      </w:r>
      <w:r w:rsidR="007C0B30">
        <w:t xml:space="preserve"> B</w:t>
      </w:r>
      <w:r w:rsidRPr="006E4007">
        <w:t>ig bankruptcies like those of Bhushan Steel, Essar Steel India, Bhushan Power and Steel, Videocon Industries, among many others have together witnessed liabilities worth thousands of crores of rupees. It took years to settle their cases in the NCLT according to the provisions of the IBC of 2016. Manufacturing is estimated to account for around 37 percent of the total number of CIRP cases filed under the IBC. This figure is higher than that of any other industry, including real estate. The concentration represented the degree to which the sector depends on debt for investments made in capital and is therefore sensitive to both domestic and international economic cycles. Given the above, the paper argues that the bankruptcy case in Indian manufacturing, as reflected in this study, is not merely a corporate event, but a phenomenon giving rise to systemic problems that can be timely detected by means of early-warning research based on empirical studies.</w:t>
      </w:r>
    </w:p>
    <w:p w14:paraId="16CBBCFE" w14:textId="77777777" w:rsidR="00CD207C" w:rsidRDefault="00CD207C" w:rsidP="00CD207C">
      <w:pPr>
        <w:spacing w:after="200" w:line="360" w:lineRule="auto"/>
        <w:jc w:val="both"/>
      </w:pPr>
    </w:p>
    <w:p w14:paraId="36B61D8E" w14:textId="1A7CDCD8" w:rsidR="00105AC5" w:rsidRPr="00CD207C" w:rsidRDefault="00CD207C" w:rsidP="00CD207C">
      <w:pPr>
        <w:spacing w:after="200" w:line="360" w:lineRule="auto"/>
        <w:jc w:val="both"/>
      </w:pPr>
      <w:r w:rsidRPr="00CD207C">
        <w:rPr>
          <w:b/>
          <w:bCs/>
          <w:sz w:val="28"/>
          <w:szCs w:val="28"/>
        </w:rPr>
        <w:t>1.1.1 Background</w:t>
      </w:r>
      <w:r w:rsidR="00000000" w:rsidRPr="00CD207C">
        <w:rPr>
          <w:b/>
          <w:bCs/>
          <w:sz w:val="28"/>
          <w:szCs w:val="28"/>
        </w:rPr>
        <w:t xml:space="preserve"> Theory</w:t>
      </w:r>
    </w:p>
    <w:p w14:paraId="0B70FD1E" w14:textId="77777777" w:rsidR="006E4007" w:rsidRDefault="006E4007">
      <w:pPr>
        <w:spacing w:after="200" w:line="360" w:lineRule="auto"/>
        <w:jc w:val="both"/>
      </w:pPr>
      <w:r w:rsidRPr="006E4007">
        <w:t xml:space="preserve">The study of corporate financial distress started from the simplest concepts of theory aiming at overcoming drawbacks that were highlighted in earlier theories. Beaver’s (1966) univariate ratio analysis was the first officially recognized technique that allowed testing different financial ratios by assessing the ability of a specific ratio, cash flow to total debt ratio, to identify distressed firms. Beaver proved that financial ratios could provide certain predictive </w:t>
      </w:r>
      <w:r w:rsidRPr="006E4007">
        <w:lastRenderedPageBreak/>
        <w:t>indication but could not be utilized in creating an aggregate assessment of risk. Then, Altman (1968) came up with an idea of MDA or multiple discriminant analysis that allows using several financial indicators together instead of testing them separately in order to calculate a linear discriminant function known as the Z-score which is one of the most widely used models in predicting corporate defaults. Z-score consists of the assumption that financial distress is a process that occurs gradually and the concept depends on the ability of financial statement data to be used together in one assessment.</w:t>
      </w:r>
    </w:p>
    <w:p w14:paraId="206BC508" w14:textId="64B83FB5" w:rsidR="006E4007" w:rsidRDefault="006E4007">
      <w:pPr>
        <w:spacing w:after="200" w:line="360" w:lineRule="auto"/>
        <w:jc w:val="both"/>
      </w:pPr>
      <w:r w:rsidRPr="006E4007">
        <w:t xml:space="preserve">Discriminant analysis included several limiting statistical assumptions mainly the normality and equal variance of the independent variables. Accounting ratios later proved not to be able to </w:t>
      </w:r>
      <w:r w:rsidRPr="006E4007">
        <w:t>fulfil</w:t>
      </w:r>
      <w:r w:rsidRPr="006E4007">
        <w:t xml:space="preserve"> these assumptions. The restriction was addressed by Ohlson (1980) by reformulating the problem of distress prediction in the conditional logit </w:t>
      </w:r>
      <w:r w:rsidRPr="006E4007">
        <w:t>modelling</w:t>
      </w:r>
      <w:r w:rsidRPr="006E4007">
        <w:t xml:space="preserve"> framework which is a way to drop the distributions’ assumptions from MDA and make the outputs of the model representing the probability of failure instead of a discriminating score that required the cutoff value chosen subjectively. This logit approach has laid the theoretical groundwork for </w:t>
      </w:r>
      <w:r w:rsidRPr="006E4007">
        <w:t>most of the</w:t>
      </w:r>
      <w:r w:rsidRPr="006E4007">
        <w:t xml:space="preserve"> further research in distress prediction, including the basis of the logistic regression benchmark.</w:t>
      </w:r>
    </w:p>
    <w:p w14:paraId="1E333716" w14:textId="1B694DCB" w:rsidR="006E4007" w:rsidRDefault="006E4007">
      <w:pPr>
        <w:spacing w:after="200" w:line="360" w:lineRule="auto"/>
        <w:jc w:val="both"/>
      </w:pPr>
      <w:proofErr w:type="gramStart"/>
      <w:r w:rsidRPr="006E4007">
        <w:t>A</w:t>
      </w:r>
      <w:proofErr w:type="gramEnd"/>
      <w:r w:rsidRPr="006E4007">
        <w:t xml:space="preserve"> alternative theory has emerged based on the understanding that both discriminant analysis and logistic regression impose a linear relationship between financial ratios and distress risk, whereas the economic reality involves </w:t>
      </w:r>
      <w:r w:rsidR="00DF782C" w:rsidRPr="006E4007">
        <w:t>a synchronic interaction</w:t>
      </w:r>
      <w:r w:rsidRPr="006E4007">
        <w:t xml:space="preserve"> between leverage, profitability, and liquidity that may entail a non-linear connection. In contrast, the machine learning methods, including support vector machines, decision trees, and ensemble methods such as random forests or gradient boosting, completely abandon the linearity assumption, enabling the model to obtain complex, non-linear, and interacting relationships from the data rather than having them imposed on the model in advance. The study carried out by Barboza, Kimura and Altman (2017) </w:t>
      </w:r>
      <w:r w:rsidR="00DF782C" w:rsidRPr="006E4007">
        <w:t>offer</w:t>
      </w:r>
      <w:r w:rsidRPr="006E4007">
        <w:t xml:space="preserve"> empirical support for this theory as it demonstrates the success of the ensemble machine learning methods compared to both discriminant and logit models in a huge bankruptcy sample across North America, especially the business year before the event</w:t>
      </w:r>
      <w:r w:rsidR="00000000" w:rsidRPr="00CD207C">
        <w:t xml:space="preserve">. </w:t>
      </w:r>
      <w:r w:rsidRPr="006E4007">
        <w:t xml:space="preserve">Nevertheless, this advantage in prediction comes with a well-known theoretical drawback: it is widely understood that the type of model being used in this case is a “black box,” i.e., that the relationship between inputs and the outcome predictions is not easy to decipher, as would be the case if it operated with a linear coefficient. As a response to this drawback, methods of explainable artificial intelligence have been developed, particularly Shapley Additive Explanations. SHAP is based on the theory of cooperative games and the idea of Shapley value, </w:t>
      </w:r>
      <w:r w:rsidRPr="006E4007">
        <w:lastRenderedPageBreak/>
        <w:t>which means distributing the output of a certain model among its inputs based on the average contribution of each variable (Lundberg and Lee 2017). It is possible to decompose the decision-making process of a complex model into contributions of individual features thanks to SHAP explaining how every single input contributes and in what way.</w:t>
      </w:r>
    </w:p>
    <w:p w14:paraId="6717585F" w14:textId="1471386F" w:rsidR="00EA46CF" w:rsidRDefault="00EA46CF" w:rsidP="00EA46CF">
      <w:pPr>
        <w:spacing w:after="200" w:line="360" w:lineRule="auto"/>
        <w:jc w:val="both"/>
      </w:pPr>
      <w:r w:rsidRPr="00EA46CF">
        <w:t>The latest theoretical contribution relates to the impact of the macroeconomic environment surrounding certain companies and its potential for causing distress for those organizations. Conventional distress prediction theories, starting with Beaver and ending with Ohlson, were based mainly on firm-level accounting information which treated distress as a firm-specific phenomenon explained using firm-specific ratios. Business-cycle theory, on the contrary, suggests that the macroeconomic environment affecting demand, interest rates, and uncertainty influences distress on the company level through mechanisms such as dropping sales, shrinking profit margins, or tightening of lending terms.</w:t>
      </w:r>
      <w:r w:rsidR="00000000" w:rsidRPr="00CD207C">
        <w:t xml:space="preserve"> </w:t>
      </w:r>
      <w:r w:rsidRPr="00EA46CF">
        <w:t xml:space="preserve">Recent investigations that put the same principles into practice in the area of distress prediction yield contradictory results: Mahesh et al. (2025), for instance, claim that the Economic Policy Uncertainty (EPU) Index is a reliable indicator for distress of the Indian small businesses and proves its ability to boost the likelihood of distress compared to the messages gained from firm-level ratios alone, while Sethi and Mahadik (2025) do research on Indian service-sector businesses and conclude that the impact of the macroeconomic factors becomes statistically insignificant with the inclusion of firm-level ratios. The theoretical and practical conflict around the question of whether macroeconomic parameters </w:t>
      </w:r>
      <w:r w:rsidRPr="00EA46CF">
        <w:t>can provide</w:t>
      </w:r>
      <w:r w:rsidRPr="00EA46CF">
        <w:t xml:space="preserve"> real incremental data on firm-level distress prediction at every level of </w:t>
      </w:r>
      <w:r w:rsidRPr="00EA46CF">
        <w:t>modelling</w:t>
      </w:r>
      <w:r w:rsidRPr="00EA46CF">
        <w:t xml:space="preserve"> process is the reason for the use of macroeconomic data in the present research.</w:t>
      </w:r>
    </w:p>
    <w:p w14:paraId="68FB3F3C" w14:textId="5F194274" w:rsidR="00105AC5" w:rsidRPr="00CD207C" w:rsidRDefault="00CD207C" w:rsidP="00EA46CF">
      <w:pPr>
        <w:spacing w:after="200" w:line="360" w:lineRule="auto"/>
        <w:jc w:val="both"/>
        <w:rPr>
          <w:sz w:val="28"/>
          <w:szCs w:val="28"/>
        </w:rPr>
      </w:pPr>
      <w:r w:rsidRPr="00CD207C">
        <w:rPr>
          <w:b/>
          <w:bCs/>
          <w:sz w:val="28"/>
          <w:szCs w:val="28"/>
        </w:rPr>
        <w:t>1.1.2 Motivation</w:t>
      </w:r>
      <w:r w:rsidR="00000000" w:rsidRPr="00CD207C">
        <w:rPr>
          <w:b/>
          <w:bCs/>
          <w:sz w:val="28"/>
          <w:szCs w:val="28"/>
        </w:rPr>
        <w:t xml:space="preserve"> of the Project</w:t>
      </w:r>
    </w:p>
    <w:p w14:paraId="03936AC1" w14:textId="75BF1332" w:rsidR="008C3593" w:rsidRDefault="008C3593">
      <w:pPr>
        <w:spacing w:after="200" w:line="360" w:lineRule="auto"/>
        <w:jc w:val="both"/>
      </w:pPr>
      <w:r>
        <w:t xml:space="preserve">In terms of practical motivation, </w:t>
      </w:r>
      <w:r w:rsidR="00000000" w:rsidRPr="00CD207C">
        <w:t xml:space="preserve">this </w:t>
      </w:r>
      <w:r w:rsidR="0031333D">
        <w:t>project</w:t>
      </w:r>
      <w:r w:rsidR="00000000" w:rsidRPr="00CD207C">
        <w:t xml:space="preserve"> has been grounded directly in the scale and urgency of the problem it addresses. </w:t>
      </w:r>
      <w:r w:rsidRPr="008C3593">
        <w:t xml:space="preserve">As of 31st December 2024, there had been a total of 8,175 Corporate Insolvency Resolution Processes initiated under the auspices of the IBC, with the manufacturing sector accounting for the largest segment of that variety accounting for around 37% (S&amp;R Associates, 2025). Among those CIRPs that have concluded, only 56% have </w:t>
      </w:r>
      <w:r w:rsidRPr="008C3593">
        <w:t>been</w:t>
      </w:r>
      <w:r w:rsidRPr="008C3593">
        <w:t xml:space="preserve"> resolved, settled or withdrawn, while the remaining 44% have proceeded into liquidation. This finding shows that it is with the commencement of formal insolvency proceedings that the delay in finding has made much of this lost value unrecoverable (</w:t>
      </w:r>
      <w:proofErr w:type="spellStart"/>
      <w:r w:rsidRPr="008C3593">
        <w:t>Factly</w:t>
      </w:r>
      <w:proofErr w:type="spellEnd"/>
      <w:r w:rsidRPr="008C3593">
        <w:t xml:space="preserve">, 2025). While the average CIRP takes 683 days, this is far longer than the 270-day maximum provided for in the </w:t>
      </w:r>
      <w:r w:rsidRPr="008C3593">
        <w:lastRenderedPageBreak/>
        <w:t>Code, with recovery rates being around 32% for secured creditors and 25% for unsecured creditors (ELP Law, 2024).</w:t>
      </w:r>
      <w:r>
        <w:t xml:space="preserve"> </w:t>
      </w:r>
      <w:r w:rsidRPr="008C3593">
        <w:t>The banking sector has seen a considerable drop in its overall non-performing asset ratio from a previous figure of 11.2% in March 2018 down to 2.8% as of March 2024 mainly due to the changes implemented in the IBC (Rao, 2024). However, there has still been an inadequate warning signal in many specific cases which could not help the creditors to avert losses arising due to the financial difficulties encountered by their counterparties (IICA, 2024). It has been the case that the ratio of the liabilities recovered to the amount of liabilities</w:t>
      </w:r>
      <w:r>
        <w:t xml:space="preserve"> now</w:t>
      </w:r>
      <w:r w:rsidRPr="008C3593">
        <w:t xml:space="preserve"> </w:t>
      </w:r>
      <w:proofErr w:type="gramStart"/>
      <w:r w:rsidRPr="008C3593">
        <w:t>at the moment</w:t>
      </w:r>
      <w:proofErr w:type="gramEnd"/>
      <w:r w:rsidRPr="008C3593">
        <w:t xml:space="preserve"> of the beginning of insolvency proceedings has been as low as seven percent in certain situations. Thus, the current figures have prompted the need for the research, as there should be early and more efficient signals of the distress enabling the creditors to minimize their losses incurred.</w:t>
      </w:r>
    </w:p>
    <w:p w14:paraId="53D7D632" w14:textId="77777777" w:rsidR="008C3593" w:rsidRDefault="008C3593" w:rsidP="008C3593">
      <w:pPr>
        <w:spacing w:after="200" w:line="360" w:lineRule="auto"/>
        <w:jc w:val="both"/>
      </w:pPr>
      <w:r w:rsidRPr="008C3593">
        <w:t>Another reason that motivated this research is associated with notable shortcomings discovered in the prior scientific literature overviewed in Chapter 2. Therefore, traditional benchmark models usually recommended in theoretical literature and applied in practice in such terms as Z-score by Altman and S-score by Springate, were developed more than several decades ago using data collected in highly developed, predominantly Western economies. In addition, modern studies have shown that their predictive ability is significantly decreased if they are applied to the new emerging market states without proper recalculation (Singh and Singla, 2023). In comparison to other methodologies, machine learning technique has been shown to perform even better in terms of knowledge received from using it, however, its lack of transparency might be regarded as one if its disadvantages which makes it not applicable in the field of credit decision making, as it is absolutely necessary to explain the decision or warning as comprehensively as possible for credit officers and auditors who have no ability to understand this methodology (Liu et al., 2023).</w:t>
      </w:r>
      <w:r>
        <w:t xml:space="preserve"> </w:t>
      </w:r>
      <w:r w:rsidRPr="008C3593">
        <w:t xml:space="preserve">Methods of Explainable AI such as SHAP have been introduced as a solution to this conflict in related markets - for instance, Tran et al. (2022) used SHAP for predicting distressed firms in Vietnam; however, similar methods pertaining to the manufacturing sector that utilize machine learning, explainability, and macroeconomic conditions have not been found much in the Indian literature. Therefore, this project’s motivation is based on the possibility of utilizing these methods for Indian manufacturing firms concerning finding out: which financial ratios and firm characteristics matter; whether machine learning can provide superior results to traditional methods; which of the indicators used in the model drive machine learning predictions after the model is made explainable; and whether </w:t>
      </w:r>
      <w:r w:rsidRPr="008C3593">
        <w:lastRenderedPageBreak/>
        <w:t>this model and its drivers remain stable across sectors, regulatory environments, and times of crisis like COVID-19.</w:t>
      </w:r>
    </w:p>
    <w:p w14:paraId="2A96FF76" w14:textId="4970407F" w:rsidR="00597B7B" w:rsidRPr="00597B7B" w:rsidRDefault="00CD207C" w:rsidP="00597B7B">
      <w:pPr>
        <w:spacing w:after="200" w:line="360" w:lineRule="auto"/>
        <w:jc w:val="both"/>
        <w:rPr>
          <w:sz w:val="28"/>
          <w:szCs w:val="28"/>
        </w:rPr>
      </w:pPr>
      <w:r w:rsidRPr="00CD207C">
        <w:rPr>
          <w:b/>
          <w:bCs/>
          <w:sz w:val="28"/>
          <w:szCs w:val="28"/>
        </w:rPr>
        <w:t>1.2 Introduction</w:t>
      </w:r>
      <w:r w:rsidR="00000000" w:rsidRPr="00CD207C">
        <w:rPr>
          <w:b/>
          <w:bCs/>
          <w:sz w:val="28"/>
          <w:szCs w:val="28"/>
        </w:rPr>
        <w:t xml:space="preserve"> to the Research Problem</w:t>
      </w:r>
    </w:p>
    <w:p w14:paraId="61D6C486" w14:textId="183624FE" w:rsidR="00597B7B" w:rsidRDefault="00597B7B">
      <w:pPr>
        <w:spacing w:after="200" w:line="360" w:lineRule="auto"/>
        <w:jc w:val="both"/>
      </w:pPr>
      <w:r w:rsidRPr="00597B7B">
        <w:t>This study is motivated by the limitations identified in the earlier discussion. Traditional statistical techniques, particularly discriminant analysis and logistic regression, have formed the basis of most distress-prediction models for Indian manufacturing firms. Many of the models are based on conventional formulas developed several decades ago using data from developed countries, which raises doubts about their applicability under the current economic and business conditions faced by Indian manufacturing firms. Moreover, conventional approaches have addressed firm-level financial ratios while overlooking their broader macroeconomic context.</w:t>
      </w:r>
      <w:r>
        <w:t xml:space="preserve"> </w:t>
      </w:r>
      <w:r w:rsidRPr="00597B7B">
        <w:t xml:space="preserve">However, despite the increasing use of machine learning methods on data from India and other emerging markets, much of the work carried out to date has been mainly focused on the aspects of predictive power of the model. It is often neglected when </w:t>
      </w:r>
      <w:r w:rsidR="00DF782C" w:rsidRPr="00597B7B">
        <w:t>analysing</w:t>
      </w:r>
      <w:r w:rsidRPr="00597B7B">
        <w:t xml:space="preserve"> the model's predictions, which variables and groups of variables are behind the predictions as well as whether the relationships remain constant across various sectors and economic conditions. This is particularly important for the case of India because the manufacturing companies operate in different sectors characterized by substantial differences in sector attributes, regulatory situation and level of economics. Another difficulty lies in the understanding of how macroeconomic variables are involved in financial distress prediction. That is, even though indicators such as GDP growth, inflation and policy instability can be used to represent the broader economic trends affecting the companies, it is unclear whether these indicators will provide any key information after the consideration of firm-specific financial characteristics.</w:t>
      </w:r>
    </w:p>
    <w:p w14:paraId="07ADDF4C" w14:textId="6E0B9F3F" w:rsidR="00105AC5" w:rsidRPr="00CD207C" w:rsidRDefault="00597B7B" w:rsidP="00597B7B">
      <w:pPr>
        <w:spacing w:after="200" w:line="360" w:lineRule="auto"/>
        <w:jc w:val="both"/>
      </w:pPr>
      <w:r w:rsidRPr="00597B7B">
        <w:t xml:space="preserve">As a result, it has been framed around the research question: how well have current methods of predicting financial distress been able to identify indicators of distress at the company and macroeconomic levels in the context of Indian manufacturers, to compare machine learning as a means of predicting financial distress with traditional </w:t>
      </w:r>
      <w:r w:rsidRPr="00597B7B">
        <w:t>modelling</w:t>
      </w:r>
      <w:r w:rsidRPr="00597B7B">
        <w:t xml:space="preserve"> techniques, to explain the resulting predictions according to individual indicators or indicator categories, and to test the model for reliability with the aim of increasing the explanatory value of the framework introduced in the subsequent sections. Addressing the question requires a systematic approach, which involves the transition from the association to prediction to explanation and finally to the assessment of reliability of the developed model based on the analysis of a unified panel </w:t>
      </w:r>
      <w:r w:rsidRPr="00597B7B">
        <w:lastRenderedPageBreak/>
        <w:t xml:space="preserve">dataset representing the same </w:t>
      </w:r>
      <w:proofErr w:type="gramStart"/>
      <w:r w:rsidRPr="00597B7B">
        <w:t>period of time</w:t>
      </w:r>
      <w:proofErr w:type="gramEnd"/>
      <w:r w:rsidRPr="00597B7B">
        <w:t xml:space="preserve"> and using the same definition of distress. This study's main achievement lies in the way it has managed to produce exactly such a framework for Indian manufacturers, which allowed performing analysis of data for almost a decade starting from the pre-IBC period through and including the COVID-19 pandemic.</w:t>
      </w:r>
    </w:p>
    <w:sectPr w:rsidR="00105AC5" w:rsidRPr="00CD207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7604E"/>
    <w:multiLevelType w:val="hybridMultilevel"/>
    <w:tmpl w:val="D97C0DE0"/>
    <w:lvl w:ilvl="0" w:tplc="A82042AC">
      <w:start w:val="1"/>
      <w:numFmt w:val="bullet"/>
      <w:lvlText w:val="●"/>
      <w:lvlJc w:val="left"/>
      <w:pPr>
        <w:ind w:left="720" w:hanging="360"/>
      </w:pPr>
    </w:lvl>
    <w:lvl w:ilvl="1" w:tplc="15B4E446">
      <w:start w:val="1"/>
      <w:numFmt w:val="bullet"/>
      <w:lvlText w:val="○"/>
      <w:lvlJc w:val="left"/>
      <w:pPr>
        <w:ind w:left="1440" w:hanging="360"/>
      </w:pPr>
    </w:lvl>
    <w:lvl w:ilvl="2" w:tplc="0FF8E26A">
      <w:start w:val="1"/>
      <w:numFmt w:val="bullet"/>
      <w:lvlText w:val="■"/>
      <w:lvlJc w:val="left"/>
      <w:pPr>
        <w:ind w:left="2160" w:hanging="360"/>
      </w:pPr>
    </w:lvl>
    <w:lvl w:ilvl="3" w:tplc="A4CCC056">
      <w:start w:val="1"/>
      <w:numFmt w:val="bullet"/>
      <w:lvlText w:val="●"/>
      <w:lvlJc w:val="left"/>
      <w:pPr>
        <w:ind w:left="2880" w:hanging="360"/>
      </w:pPr>
    </w:lvl>
    <w:lvl w:ilvl="4" w:tplc="4006A4EE">
      <w:start w:val="1"/>
      <w:numFmt w:val="bullet"/>
      <w:lvlText w:val="○"/>
      <w:lvlJc w:val="left"/>
      <w:pPr>
        <w:ind w:left="3600" w:hanging="360"/>
      </w:pPr>
    </w:lvl>
    <w:lvl w:ilvl="5" w:tplc="B58C34BE">
      <w:start w:val="1"/>
      <w:numFmt w:val="bullet"/>
      <w:lvlText w:val="■"/>
      <w:lvlJc w:val="left"/>
      <w:pPr>
        <w:ind w:left="4320" w:hanging="360"/>
      </w:pPr>
    </w:lvl>
    <w:lvl w:ilvl="6" w:tplc="C57CB60E">
      <w:start w:val="1"/>
      <w:numFmt w:val="bullet"/>
      <w:lvlText w:val="●"/>
      <w:lvlJc w:val="left"/>
      <w:pPr>
        <w:ind w:left="5040" w:hanging="360"/>
      </w:pPr>
    </w:lvl>
    <w:lvl w:ilvl="7" w:tplc="B606AB10">
      <w:start w:val="1"/>
      <w:numFmt w:val="bullet"/>
      <w:lvlText w:val="●"/>
      <w:lvlJc w:val="left"/>
      <w:pPr>
        <w:ind w:left="5760" w:hanging="360"/>
      </w:pPr>
    </w:lvl>
    <w:lvl w:ilvl="8" w:tplc="2DB60056">
      <w:start w:val="1"/>
      <w:numFmt w:val="bullet"/>
      <w:lvlText w:val="●"/>
      <w:lvlJc w:val="left"/>
      <w:pPr>
        <w:ind w:left="6480" w:hanging="360"/>
      </w:pPr>
    </w:lvl>
  </w:abstractNum>
  <w:num w:numId="1" w16cid:durableId="1894927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AC5"/>
    <w:rsid w:val="00105AC5"/>
    <w:rsid w:val="0031333D"/>
    <w:rsid w:val="003D38D5"/>
    <w:rsid w:val="00597B7B"/>
    <w:rsid w:val="006E4007"/>
    <w:rsid w:val="007A23CE"/>
    <w:rsid w:val="007C0B30"/>
    <w:rsid w:val="008C3593"/>
    <w:rsid w:val="00CD207C"/>
    <w:rsid w:val="00DF782C"/>
    <w:rsid w:val="00EA46CF"/>
    <w:rsid w:val="00F60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9E00"/>
  <w15:docId w15:val="{676E85E4-82F0-4B1B-A77E-1758E0AD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2128</Words>
  <Characters>12134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Venkatesh Alur</cp:lastModifiedBy>
  <cp:revision>10</cp:revision>
  <dcterms:created xsi:type="dcterms:W3CDTF">2026-08-22T06:58:00Z</dcterms:created>
  <dcterms:modified xsi:type="dcterms:W3CDTF">2026-08-27T12:18:00Z</dcterms:modified>
</cp:coreProperties>
</file>