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11CE1" w14:textId="77777777" w:rsidR="009F3736" w:rsidRDefault="00000000" w:rsidP="00C83611">
      <w:pPr>
        <w:spacing w:after="300"/>
      </w:pPr>
      <w:r>
        <w:rPr>
          <w:b/>
          <w:bCs/>
          <w:sz w:val="32"/>
          <w:szCs w:val="32"/>
        </w:rPr>
        <w:t>2. Literature Review and Problem Formulation</w:t>
      </w:r>
    </w:p>
    <w:p w14:paraId="149DD1A9" w14:textId="287CC1BF" w:rsidR="009F3736" w:rsidRDefault="00C83611" w:rsidP="006F3F3C">
      <w:pPr>
        <w:pStyle w:val="Heading2"/>
        <w:spacing w:before="320" w:after="200" w:line="276" w:lineRule="auto"/>
      </w:pPr>
      <w:r>
        <w:rPr>
          <w:b/>
          <w:bCs/>
          <w:color w:val="000000"/>
        </w:rPr>
        <w:t xml:space="preserve">2.1 Literature Review </w:t>
      </w:r>
    </w:p>
    <w:p w14:paraId="14C1D03E" w14:textId="77777777" w:rsidR="006F3F3C" w:rsidRDefault="006F3F3C" w:rsidP="006F3F3C">
      <w:pPr>
        <w:spacing w:before="120" w:after="160" w:line="276" w:lineRule="auto"/>
        <w:jc w:val="both"/>
      </w:pPr>
      <w:r w:rsidRPr="006F3F3C">
        <w:t>The studies on financial distress and bankruptcy prediction have been reviewed in chronological order and divided into two groups: studies conducted in India and studies conducted in other countries. This structure helps place the research gap identified for the Indian manufacturing sector in Section 2.3 within the broader development of the field, while also allowing the findings from Indian studies to be compared with developments in international research. Table 2.1 provides a year-wise summary of the fourteen studies reviewed, including their main findings, the variables and indicators used, and the limitations or gaps identified by the respective authors. A more detailed discussion of these studies is presented subsequently from both the Indian and international perspectives in Sections 2.1.1 and 2.1.2.</w:t>
      </w:r>
    </w:p>
    <w:p w14:paraId="41C784C6" w14:textId="779E737F" w:rsidR="009F3736" w:rsidRDefault="00000000" w:rsidP="00C83611">
      <w:pPr>
        <w:spacing w:before="120" w:after="160"/>
      </w:pPr>
      <w:r>
        <w:rPr>
          <w:b/>
          <w:bCs/>
          <w:i/>
          <w:iCs/>
          <w:sz w:val="22"/>
          <w:szCs w:val="22"/>
        </w:rPr>
        <w:t>Table 2.1: Summary of reviewed literature</w:t>
      </w:r>
    </w:p>
    <w:tbl>
      <w:tblPr>
        <w:tblW w:w="94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5"/>
        <w:gridCol w:w="1750"/>
        <w:gridCol w:w="3084"/>
        <w:gridCol w:w="1678"/>
        <w:gridCol w:w="2427"/>
      </w:tblGrid>
      <w:tr w:rsidR="009F3736" w14:paraId="52E87052" w14:textId="77777777" w:rsidTr="00C83611">
        <w:trPr>
          <w:tblHeader/>
        </w:trPr>
        <w:tc>
          <w:tcPr>
            <w:tcW w:w="495"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1E3D85D6" w14:textId="77777777" w:rsidR="009F3736" w:rsidRDefault="00000000" w:rsidP="006F3F3C">
            <w:pPr>
              <w:spacing w:line="276" w:lineRule="auto"/>
            </w:pPr>
            <w:r>
              <w:rPr>
                <w:b/>
                <w:bCs/>
                <w:sz w:val="20"/>
                <w:szCs w:val="20"/>
              </w:rPr>
              <w:t>SI No.</w:t>
            </w:r>
          </w:p>
        </w:tc>
        <w:tc>
          <w:tcPr>
            <w:tcW w:w="177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3944176B" w14:textId="77777777" w:rsidR="009F3736" w:rsidRDefault="00000000" w:rsidP="006F3F3C">
            <w:pPr>
              <w:spacing w:line="276" w:lineRule="auto"/>
            </w:pPr>
            <w:r>
              <w:rPr>
                <w:b/>
                <w:bCs/>
                <w:sz w:val="20"/>
                <w:szCs w:val="20"/>
              </w:rPr>
              <w:t>Title, Author and Year</w:t>
            </w:r>
          </w:p>
        </w:tc>
        <w:tc>
          <w:tcPr>
            <w:tcW w:w="3138"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044331F3" w14:textId="77777777" w:rsidR="009F3736" w:rsidRDefault="00000000" w:rsidP="006F3F3C">
            <w:pPr>
              <w:spacing w:line="276" w:lineRule="auto"/>
            </w:pPr>
            <w:r>
              <w:rPr>
                <w:b/>
                <w:bCs/>
                <w:sz w:val="20"/>
                <w:szCs w:val="20"/>
              </w:rPr>
              <w:t>Key Findings</w:t>
            </w:r>
          </w:p>
        </w:tc>
        <w:tc>
          <w:tcPr>
            <w:tcW w:w="1682"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20DFF518" w14:textId="77777777" w:rsidR="009F3736" w:rsidRDefault="00000000" w:rsidP="006F3F3C">
            <w:pPr>
              <w:spacing w:line="276" w:lineRule="auto"/>
            </w:pPr>
            <w:r>
              <w:rPr>
                <w:b/>
                <w:bCs/>
                <w:sz w:val="20"/>
                <w:szCs w:val="20"/>
              </w:rPr>
              <w:t>Variables</w:t>
            </w:r>
          </w:p>
        </w:tc>
        <w:tc>
          <w:tcPr>
            <w:tcW w:w="2349"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4ACA6DF0" w14:textId="77777777" w:rsidR="009F3736" w:rsidRDefault="00000000" w:rsidP="006F3F3C">
            <w:pPr>
              <w:spacing w:line="276" w:lineRule="auto"/>
            </w:pPr>
            <w:r>
              <w:rPr>
                <w:b/>
                <w:bCs/>
                <w:sz w:val="20"/>
                <w:szCs w:val="20"/>
              </w:rPr>
              <w:t>Gaps in Study</w:t>
            </w:r>
          </w:p>
        </w:tc>
      </w:tr>
      <w:tr w:rsidR="009F3736" w14:paraId="23638644" w14:textId="77777777" w:rsidTr="00C83611">
        <w:tc>
          <w:tcPr>
            <w:tcW w:w="495"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3A29D55A" w14:textId="77777777" w:rsidR="009F3736" w:rsidRDefault="00000000" w:rsidP="006F3F3C">
            <w:pPr>
              <w:spacing w:line="276" w:lineRule="auto"/>
            </w:pPr>
            <w:r>
              <w:rPr>
                <w:b/>
                <w:bCs/>
                <w:sz w:val="19"/>
                <w:szCs w:val="19"/>
              </w:rPr>
              <w:t>1</w:t>
            </w:r>
          </w:p>
        </w:tc>
        <w:tc>
          <w:tcPr>
            <w:tcW w:w="177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71EAB62F" w14:textId="77777777" w:rsidR="009F3736" w:rsidRDefault="00000000" w:rsidP="006F3F3C">
            <w:pPr>
              <w:spacing w:after="100" w:line="276" w:lineRule="auto"/>
            </w:pPr>
            <w:r>
              <w:rPr>
                <w:sz w:val="19"/>
                <w:szCs w:val="19"/>
              </w:rPr>
              <w:t>Financial Ratios, Discriminant Analysis and the Prediction of Corporate Bankruptcy</w:t>
            </w:r>
          </w:p>
          <w:p w14:paraId="545C16C5" w14:textId="77777777" w:rsidR="009F3736" w:rsidRDefault="00000000" w:rsidP="006F3F3C">
            <w:pPr>
              <w:spacing w:line="276" w:lineRule="auto"/>
            </w:pPr>
            <w:r>
              <w:rPr>
                <w:sz w:val="19"/>
                <w:szCs w:val="19"/>
              </w:rPr>
              <w:t>Altman (1968)</w:t>
            </w:r>
          </w:p>
        </w:tc>
        <w:tc>
          <w:tcPr>
            <w:tcW w:w="3138"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6BE25A68" w14:textId="77777777" w:rsidR="009F3736" w:rsidRDefault="00000000" w:rsidP="006F3F3C">
            <w:pPr>
              <w:spacing w:line="276" w:lineRule="auto"/>
            </w:pPr>
            <w:r>
              <w:rPr>
                <w:sz w:val="19"/>
                <w:szCs w:val="19"/>
              </w:rPr>
              <w:t xml:space="preserve">Developed the multivariate discriminant analysis (MDA) Z-score model, combining five financial ratios into a single discriminant score. The Z-score model correctly classified bankrupt firms with high accuracy up to one year prior to </w:t>
            </w:r>
            <w:proofErr w:type="gramStart"/>
            <w:r>
              <w:rPr>
                <w:sz w:val="19"/>
                <w:szCs w:val="19"/>
              </w:rPr>
              <w:t>failure, and</w:t>
            </w:r>
            <w:proofErr w:type="gramEnd"/>
            <w:r>
              <w:rPr>
                <w:sz w:val="19"/>
                <w:szCs w:val="19"/>
              </w:rPr>
              <w:t xml:space="preserve"> remained reasonably accurate up to two years prior. Established that liquidity, profitability, leverage, solvency and activity ratios were jointly predictive of bankruptcy, rather than any single ratio in isolation. Became the foundational benchmark model against which nearly all subsequent bankruptcy-prediction techniques have since been compared.</w:t>
            </w:r>
          </w:p>
        </w:tc>
        <w:tc>
          <w:tcPr>
            <w:tcW w:w="1682"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65B335A0" w14:textId="77777777" w:rsidR="009F3736" w:rsidRDefault="00000000" w:rsidP="006F3F3C">
            <w:pPr>
              <w:spacing w:line="276" w:lineRule="auto"/>
            </w:pPr>
            <w:r>
              <w:rPr>
                <w:sz w:val="19"/>
                <w:szCs w:val="19"/>
              </w:rPr>
              <w:t>Working Capital/Total Assets (X1); Retained Earnings/Total Assets (X2); EBIT/Total Assets (X3); Market Value of Equity/Total Debt (X4); Sales/Total Assets (X5)</w:t>
            </w:r>
          </w:p>
        </w:tc>
        <w:tc>
          <w:tcPr>
            <w:tcW w:w="2349"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271D200E" w14:textId="77777777" w:rsidR="009F3736" w:rsidRDefault="00000000" w:rsidP="006F3F3C">
            <w:pPr>
              <w:spacing w:line="276" w:lineRule="auto"/>
            </w:pPr>
            <w:r>
              <w:rPr>
                <w:sz w:val="19"/>
                <w:szCs w:val="19"/>
              </w:rPr>
              <w:t>Sample confined to 66 US manufacturing firms (33 bankrupt, 33 non-bankrupt) in a matched-pair design. Not tested outside manufacturing or outside the United States. Requires market value of equity, limiting applicability to listed/large firms. Relies on the rigid linearity and normality assumptions of MDA.</w:t>
            </w:r>
          </w:p>
        </w:tc>
      </w:tr>
      <w:tr w:rsidR="009F3736" w14:paraId="599935D7" w14:textId="77777777" w:rsidTr="00C83611">
        <w:tc>
          <w:tcPr>
            <w:tcW w:w="495"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3C2295A0" w14:textId="77777777" w:rsidR="009F3736" w:rsidRDefault="00000000" w:rsidP="006F3F3C">
            <w:pPr>
              <w:spacing w:line="276" w:lineRule="auto"/>
            </w:pPr>
            <w:r>
              <w:rPr>
                <w:b/>
                <w:bCs/>
                <w:sz w:val="19"/>
                <w:szCs w:val="19"/>
              </w:rPr>
              <w:t>2</w:t>
            </w:r>
          </w:p>
        </w:tc>
        <w:tc>
          <w:tcPr>
            <w:tcW w:w="177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15D2FA70" w14:textId="77777777" w:rsidR="009F3736" w:rsidRDefault="00000000" w:rsidP="006F3F3C">
            <w:pPr>
              <w:spacing w:after="100" w:line="276" w:lineRule="auto"/>
            </w:pPr>
            <w:r>
              <w:rPr>
                <w:sz w:val="19"/>
                <w:szCs w:val="19"/>
              </w:rPr>
              <w:t>Predicting the Possibility of Failure in a Canadian Firm</w:t>
            </w:r>
          </w:p>
          <w:p w14:paraId="59DE4FF6" w14:textId="77777777" w:rsidR="009F3736" w:rsidRDefault="00000000" w:rsidP="006F3F3C">
            <w:pPr>
              <w:spacing w:line="276" w:lineRule="auto"/>
            </w:pPr>
            <w:r>
              <w:rPr>
                <w:sz w:val="19"/>
                <w:szCs w:val="19"/>
              </w:rPr>
              <w:t>Springate (1978)</w:t>
            </w:r>
          </w:p>
        </w:tc>
        <w:tc>
          <w:tcPr>
            <w:tcW w:w="3138"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40AE6FD3" w14:textId="4DC18748" w:rsidR="009F3736" w:rsidRDefault="00000000" w:rsidP="006F3F3C">
            <w:pPr>
              <w:spacing w:line="276" w:lineRule="auto"/>
            </w:pPr>
            <w:r>
              <w:rPr>
                <w:sz w:val="19"/>
                <w:szCs w:val="19"/>
              </w:rPr>
              <w:t xml:space="preserve">Utilised </w:t>
            </w:r>
            <w:r w:rsidR="00901AAE">
              <w:rPr>
                <w:sz w:val="19"/>
                <w:szCs w:val="19"/>
              </w:rPr>
              <w:t>stepwise</w:t>
            </w:r>
            <w:r>
              <w:rPr>
                <w:sz w:val="19"/>
                <w:szCs w:val="19"/>
              </w:rPr>
              <w:t xml:space="preserve"> multiple discriminant analysis to select four financial ratios from an initial set of nineteen candidate ratios. Developed the Springate S-score as a classification tool to predict corporate insolvency. Distinguished the S-score from Altman's Z-score by incorporating a short-term earnings-to-current-liabilities term, allowing it to capture immediate debt-servicing pressure. The S-score has remained a prevalent baseline in subsequent </w:t>
            </w:r>
            <w:r>
              <w:rPr>
                <w:sz w:val="19"/>
                <w:szCs w:val="19"/>
              </w:rPr>
              <w:lastRenderedPageBreak/>
              <w:t>comparative distress-prediction literature.</w:t>
            </w:r>
          </w:p>
        </w:tc>
        <w:tc>
          <w:tcPr>
            <w:tcW w:w="1682"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7F04DB39" w14:textId="77777777" w:rsidR="009F3736" w:rsidRDefault="00000000" w:rsidP="006F3F3C">
            <w:pPr>
              <w:spacing w:line="276" w:lineRule="auto"/>
            </w:pPr>
            <w:r>
              <w:rPr>
                <w:sz w:val="19"/>
                <w:szCs w:val="19"/>
              </w:rPr>
              <w:lastRenderedPageBreak/>
              <w:t>Working Capital/Total Assets; EBIT/Total Assets; EBT/Current Liabilities; Sales/Total Assets</w:t>
            </w:r>
          </w:p>
        </w:tc>
        <w:tc>
          <w:tcPr>
            <w:tcW w:w="2349"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785B1749" w14:textId="77777777" w:rsidR="009F3736" w:rsidRDefault="00000000" w:rsidP="006F3F3C">
            <w:pPr>
              <w:spacing w:line="276" w:lineRule="auto"/>
            </w:pPr>
            <w:r>
              <w:rPr>
                <w:sz w:val="19"/>
                <w:szCs w:val="19"/>
              </w:rPr>
              <w:t>Calibrated originally on a small Canadian sample. Relies on the rigid linearity and normality assumptions of MDA, as with Altman's model. Not tested outside the original Canadian, single-country context.</w:t>
            </w:r>
          </w:p>
        </w:tc>
      </w:tr>
      <w:tr w:rsidR="009F3736" w14:paraId="5C94FD30" w14:textId="77777777" w:rsidTr="00C83611">
        <w:tc>
          <w:tcPr>
            <w:tcW w:w="495"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65B36FB7" w14:textId="77777777" w:rsidR="009F3736" w:rsidRDefault="00000000" w:rsidP="006F3F3C">
            <w:pPr>
              <w:spacing w:line="276" w:lineRule="auto"/>
            </w:pPr>
            <w:r>
              <w:rPr>
                <w:b/>
                <w:bCs/>
                <w:sz w:val="19"/>
                <w:szCs w:val="19"/>
              </w:rPr>
              <w:t>3</w:t>
            </w:r>
          </w:p>
        </w:tc>
        <w:tc>
          <w:tcPr>
            <w:tcW w:w="177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2FD1ADED" w14:textId="77777777" w:rsidR="009F3736" w:rsidRDefault="00000000" w:rsidP="006F3F3C">
            <w:pPr>
              <w:spacing w:after="100" w:line="276" w:lineRule="auto"/>
            </w:pPr>
            <w:r>
              <w:rPr>
                <w:sz w:val="19"/>
                <w:szCs w:val="19"/>
              </w:rPr>
              <w:t>Financial Ratios and the Probabilistic Prediction of Bankruptcy</w:t>
            </w:r>
          </w:p>
          <w:p w14:paraId="1A0A2CE6" w14:textId="77777777" w:rsidR="009F3736" w:rsidRDefault="00000000" w:rsidP="006F3F3C">
            <w:pPr>
              <w:spacing w:line="276" w:lineRule="auto"/>
            </w:pPr>
            <w:r>
              <w:rPr>
                <w:sz w:val="19"/>
                <w:szCs w:val="19"/>
              </w:rPr>
              <w:t>Ohlson (1980)</w:t>
            </w:r>
          </w:p>
        </w:tc>
        <w:tc>
          <w:tcPr>
            <w:tcW w:w="3138"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13693831" w14:textId="77777777" w:rsidR="009F3736" w:rsidRDefault="00000000" w:rsidP="006F3F3C">
            <w:pPr>
              <w:spacing w:line="276" w:lineRule="auto"/>
            </w:pPr>
            <w:r>
              <w:rPr>
                <w:sz w:val="19"/>
                <w:szCs w:val="19"/>
              </w:rPr>
              <w:t>Developed a conditional logit model producing probabilistic (0-1) estimates of bankruptcy rather than a discriminant score. Four factors found statistically significant: firm size, financial structure (leverage), performance, and liquidity. Reported error rates higher than earlier MDA-based studies, attributed to a timing/back-casting problem in prior research that had used data released after the bankruptcy date. Data drawn from 10-K filings verified against actual public-release dates (105 bankrupt, 2,058 non-bankrupt US firms, 1970-76), avoiding the back-casting bias present in earlier studies.</w:t>
            </w:r>
          </w:p>
        </w:tc>
        <w:tc>
          <w:tcPr>
            <w:tcW w:w="1682"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469D71F6" w14:textId="77777777" w:rsidR="009F3736" w:rsidRDefault="00000000" w:rsidP="006F3F3C">
            <w:pPr>
              <w:spacing w:line="276" w:lineRule="auto"/>
            </w:pPr>
            <w:r>
              <w:rPr>
                <w:sz w:val="19"/>
                <w:szCs w:val="19"/>
              </w:rPr>
              <w:t>SIZE (log of total assets/price-level index); Total Liabilities/Total Assets; Working Capital/Total Assets; Current Liabilities/Current Assets; OENEG (negative net-worth dummy); Net Income/Total Assets; Funds from Operations/Total Liabilities; INTWO (two-year loss dummy); CHIN (income-change measure)</w:t>
            </w:r>
          </w:p>
        </w:tc>
        <w:tc>
          <w:tcPr>
            <w:tcW w:w="2349"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2129D31F" w14:textId="77777777" w:rsidR="009F3736" w:rsidRDefault="00000000" w:rsidP="006F3F3C">
            <w:pPr>
              <w:spacing w:line="276" w:lineRule="auto"/>
            </w:pPr>
            <w:r>
              <w:rPr>
                <w:sz w:val="19"/>
                <w:szCs w:val="19"/>
              </w:rPr>
              <w:t>Did not incorporate market-price/equity data (recommended as a future extension). Confined to US industrial firms in the 1970s. Logit did not decisively outperform MDA in error-rate terms. Timing/back-casting issue only partially resolved.</w:t>
            </w:r>
          </w:p>
        </w:tc>
      </w:tr>
      <w:tr w:rsidR="009F3736" w14:paraId="187F8387" w14:textId="77777777" w:rsidTr="00C83611">
        <w:tc>
          <w:tcPr>
            <w:tcW w:w="495"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5AC20BBA" w14:textId="77777777" w:rsidR="009F3736" w:rsidRDefault="00000000" w:rsidP="006F3F3C">
            <w:pPr>
              <w:spacing w:line="276" w:lineRule="auto"/>
            </w:pPr>
            <w:r>
              <w:rPr>
                <w:b/>
                <w:bCs/>
                <w:sz w:val="19"/>
                <w:szCs w:val="19"/>
              </w:rPr>
              <w:t>4</w:t>
            </w:r>
          </w:p>
        </w:tc>
        <w:tc>
          <w:tcPr>
            <w:tcW w:w="177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6148D0FC" w14:textId="77777777" w:rsidR="009F3736" w:rsidRDefault="00000000" w:rsidP="006F3F3C">
            <w:pPr>
              <w:spacing w:after="100" w:line="276" w:lineRule="auto"/>
            </w:pPr>
            <w:r>
              <w:rPr>
                <w:sz w:val="19"/>
                <w:szCs w:val="19"/>
              </w:rPr>
              <w:t>Machine Learning Models and Bankruptcy Prediction</w:t>
            </w:r>
          </w:p>
          <w:p w14:paraId="41863B66" w14:textId="77777777" w:rsidR="009F3736" w:rsidRDefault="00000000" w:rsidP="006F3F3C">
            <w:pPr>
              <w:spacing w:line="276" w:lineRule="auto"/>
            </w:pPr>
            <w:r>
              <w:rPr>
                <w:sz w:val="19"/>
                <w:szCs w:val="19"/>
              </w:rPr>
              <w:t>Barboza, Kimura and Altman (2017)</w:t>
            </w:r>
          </w:p>
        </w:tc>
        <w:tc>
          <w:tcPr>
            <w:tcW w:w="3138"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55A18874" w14:textId="77777777" w:rsidR="009F3736" w:rsidRDefault="00000000" w:rsidP="006F3F3C">
            <w:pPr>
              <w:spacing w:line="276" w:lineRule="auto"/>
            </w:pPr>
            <w:r>
              <w:rPr>
                <w:sz w:val="19"/>
                <w:szCs w:val="19"/>
              </w:rPr>
              <w:t>Benchmarked Random Forest, Bagging, Boosting and SVM against Z-score-style discriminant/logit models on approximately 10,000 North American firm-year observations (1985-2013). Random Forest and related ensemble methods substantially outperformed traditional Z-score-style models, especially in the year immediately preceding bankruptcy. ML gains were most pronounced closer to the failure event, narrowing at longer forecasting horizons. Provided a large-scale, methodologically rigorous benchmark (5-fold cross-validation, AUC) rarely available in earlier ML-vs-traditional comparisons that relied on small, narrow samples.</w:t>
            </w:r>
          </w:p>
        </w:tc>
        <w:tc>
          <w:tcPr>
            <w:tcW w:w="1682"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30FCA029" w14:textId="77777777" w:rsidR="009F3736" w:rsidRDefault="00000000" w:rsidP="006F3F3C">
            <w:pPr>
              <w:spacing w:line="276" w:lineRule="auto"/>
            </w:pPr>
            <w:r>
              <w:rPr>
                <w:sz w:val="19"/>
                <w:szCs w:val="19"/>
              </w:rPr>
              <w:t>11 financial ratios spanning liquidity, profitability, leverage and activity (consistent with Altman's Z-score inputs); Firm size</w:t>
            </w:r>
          </w:p>
        </w:tc>
        <w:tc>
          <w:tcPr>
            <w:tcW w:w="2349"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66990C73" w14:textId="77777777" w:rsidR="009F3736" w:rsidRDefault="00000000" w:rsidP="006F3F3C">
            <w:pPr>
              <w:spacing w:line="276" w:lineRule="auto"/>
            </w:pPr>
            <w:r>
              <w:rPr>
                <w:sz w:val="19"/>
                <w:szCs w:val="19"/>
              </w:rPr>
              <w:t>Confined to North American firms. Deep learning and text-based variables not explored (recommended for future work). No explainability/interpretability analysis of the ML models' predictions.</w:t>
            </w:r>
          </w:p>
        </w:tc>
      </w:tr>
      <w:tr w:rsidR="009F3736" w14:paraId="67D57A7C" w14:textId="77777777" w:rsidTr="00C83611">
        <w:tc>
          <w:tcPr>
            <w:tcW w:w="495"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6EE58D29" w14:textId="77777777" w:rsidR="009F3736" w:rsidRDefault="00000000" w:rsidP="006F3F3C">
            <w:pPr>
              <w:spacing w:line="276" w:lineRule="auto"/>
            </w:pPr>
            <w:r>
              <w:rPr>
                <w:b/>
                <w:bCs/>
                <w:sz w:val="19"/>
                <w:szCs w:val="19"/>
              </w:rPr>
              <w:t>5</w:t>
            </w:r>
          </w:p>
        </w:tc>
        <w:tc>
          <w:tcPr>
            <w:tcW w:w="177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776543CB" w14:textId="77777777" w:rsidR="009F3736" w:rsidRDefault="00000000" w:rsidP="006F3F3C">
            <w:pPr>
              <w:spacing w:after="100" w:line="276" w:lineRule="auto"/>
            </w:pPr>
            <w:r>
              <w:rPr>
                <w:sz w:val="19"/>
                <w:szCs w:val="19"/>
              </w:rPr>
              <w:t>On the Determinants and Prediction of Corporate Financial Distress in India</w:t>
            </w:r>
          </w:p>
          <w:p w14:paraId="02E6C427" w14:textId="77777777" w:rsidR="009F3736" w:rsidRDefault="00000000" w:rsidP="006F3F3C">
            <w:pPr>
              <w:spacing w:line="276" w:lineRule="auto"/>
            </w:pPr>
            <w:r>
              <w:rPr>
                <w:sz w:val="19"/>
                <w:szCs w:val="19"/>
              </w:rPr>
              <w:t xml:space="preserve">Sehgal, Mishra, </w:t>
            </w:r>
            <w:proofErr w:type="spellStart"/>
            <w:r>
              <w:rPr>
                <w:sz w:val="19"/>
                <w:szCs w:val="19"/>
              </w:rPr>
              <w:t>Deisting</w:t>
            </w:r>
            <w:proofErr w:type="spellEnd"/>
            <w:r>
              <w:rPr>
                <w:sz w:val="19"/>
                <w:szCs w:val="19"/>
              </w:rPr>
              <w:t xml:space="preserve"> and Vashisht (2021)</w:t>
            </w:r>
          </w:p>
        </w:tc>
        <w:tc>
          <w:tcPr>
            <w:tcW w:w="3138"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69FFB3F4" w14:textId="698173CE" w:rsidR="009F3736" w:rsidRDefault="00000000" w:rsidP="006F3F3C">
            <w:pPr>
              <w:spacing w:line="276" w:lineRule="auto"/>
            </w:pPr>
            <w:r>
              <w:rPr>
                <w:sz w:val="19"/>
                <w:szCs w:val="19"/>
              </w:rPr>
              <w:t>Identified six critical microeconomic determinants of distress for Indian NSE-listed firms (2010-2016): ROCE, CFO/TL, Asset Turnover, Fixed Assets/Total Assets, Debt-to-Equity, and log</w:t>
            </w:r>
            <w:r w:rsidR="00C83611">
              <w:rPr>
                <w:sz w:val="19"/>
                <w:szCs w:val="19"/>
              </w:rPr>
              <w:t xml:space="preserve"> </w:t>
            </w:r>
            <w:r>
              <w:rPr>
                <w:sz w:val="19"/>
                <w:szCs w:val="19"/>
              </w:rPr>
              <w:t xml:space="preserve">(Total Assets). Compared binomial logit, SVM and ANN; SVM and ANN were found to outperform the binomial logit model. </w:t>
            </w:r>
            <w:r>
              <w:rPr>
                <w:sz w:val="19"/>
                <w:szCs w:val="19"/>
              </w:rPr>
              <w:lastRenderedPageBreak/>
              <w:t>One-year-ahead forecasts were found to be more accurate than two-year-ahead forecasts. Highlighted a paradox specific to the Indian economy: high GDP growth found to coexist with widespread corporate financial distress.</w:t>
            </w:r>
          </w:p>
        </w:tc>
        <w:tc>
          <w:tcPr>
            <w:tcW w:w="1682"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11A782CB" w14:textId="2DA336FE" w:rsidR="009F3736" w:rsidRDefault="00000000" w:rsidP="006F3F3C">
            <w:pPr>
              <w:spacing w:line="276" w:lineRule="auto"/>
            </w:pPr>
            <w:r>
              <w:rPr>
                <w:sz w:val="19"/>
                <w:szCs w:val="19"/>
              </w:rPr>
              <w:lastRenderedPageBreak/>
              <w:t>Return on Capital Employed (ROCE); CFO/Total Liabilities; Asset Turnover Ratio; Fixed Assets/Total Assets; Debt-to-</w:t>
            </w:r>
            <w:r>
              <w:rPr>
                <w:sz w:val="19"/>
                <w:szCs w:val="19"/>
              </w:rPr>
              <w:lastRenderedPageBreak/>
              <w:t>Equity Ratio; log</w:t>
            </w:r>
            <w:r w:rsidR="00C83611">
              <w:rPr>
                <w:sz w:val="19"/>
                <w:szCs w:val="19"/>
              </w:rPr>
              <w:t xml:space="preserve"> </w:t>
            </w:r>
            <w:r>
              <w:rPr>
                <w:sz w:val="19"/>
                <w:szCs w:val="19"/>
              </w:rPr>
              <w:t>(Total Assets)</w:t>
            </w:r>
          </w:p>
        </w:tc>
        <w:tc>
          <w:tcPr>
            <w:tcW w:w="2349"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6251667B" w14:textId="77777777" w:rsidR="009F3736" w:rsidRDefault="00000000" w:rsidP="006F3F3C">
            <w:pPr>
              <w:spacing w:line="276" w:lineRule="auto"/>
            </w:pPr>
            <w:r>
              <w:rPr>
                <w:sz w:val="19"/>
                <w:szCs w:val="19"/>
              </w:rPr>
              <w:lastRenderedPageBreak/>
              <w:t>Confined to listed, cross-sector non-financial companies; no manufacturing-specific model. Additional non-financial/qualitative variables not incorporated. No explainability analysis of model predictions.</w:t>
            </w:r>
          </w:p>
        </w:tc>
      </w:tr>
      <w:tr w:rsidR="009F3736" w14:paraId="2A87DB7D" w14:textId="77777777" w:rsidTr="00C83611">
        <w:tc>
          <w:tcPr>
            <w:tcW w:w="495"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03C8E647" w14:textId="77777777" w:rsidR="009F3736" w:rsidRDefault="00000000" w:rsidP="006F3F3C">
            <w:pPr>
              <w:spacing w:line="276" w:lineRule="auto"/>
            </w:pPr>
            <w:r>
              <w:rPr>
                <w:b/>
                <w:bCs/>
                <w:sz w:val="19"/>
                <w:szCs w:val="19"/>
              </w:rPr>
              <w:t>6</w:t>
            </w:r>
          </w:p>
        </w:tc>
        <w:tc>
          <w:tcPr>
            <w:tcW w:w="177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4D36F59A" w14:textId="77777777" w:rsidR="009F3736" w:rsidRDefault="00000000" w:rsidP="006F3F3C">
            <w:pPr>
              <w:spacing w:after="100" w:line="276" w:lineRule="auto"/>
            </w:pPr>
            <w:r>
              <w:rPr>
                <w:sz w:val="19"/>
                <w:szCs w:val="19"/>
              </w:rPr>
              <w:t>Predicting Financial Distress in the Indian Banking Sector: A Comparative Study Between the Logistic Regression, LDA and ANN Models</w:t>
            </w:r>
          </w:p>
          <w:p w14:paraId="5078FD8B" w14:textId="77777777" w:rsidR="009F3736" w:rsidRDefault="00000000" w:rsidP="006F3F3C">
            <w:pPr>
              <w:spacing w:line="276" w:lineRule="auto"/>
            </w:pPr>
            <w:r>
              <w:rPr>
                <w:sz w:val="19"/>
                <w:szCs w:val="19"/>
              </w:rPr>
              <w:t>Mishra, Ashok and Tandon (2021)</w:t>
            </w:r>
          </w:p>
        </w:tc>
        <w:tc>
          <w:tcPr>
            <w:tcW w:w="3138"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4CA3AD37" w14:textId="77777777" w:rsidR="009F3736" w:rsidRDefault="00000000" w:rsidP="006F3F3C">
            <w:pPr>
              <w:spacing w:line="276" w:lineRule="auto"/>
            </w:pPr>
            <w:r>
              <w:rPr>
                <w:sz w:val="19"/>
                <w:szCs w:val="19"/>
              </w:rPr>
              <w:t>Applied logistic regression (LR), LDA and ANN to 75 Indian banks (FY2014-15 to FY2018-19). The ANN model was found to be competitive with, and in parts superior to, LR and LDA. Distress predictors were grounded in the CAMELS regulatory framework (leverage, profitability, liquidity, asset growth). Confirmed the relative rarity of quantitatively oriented, multi-model comparisons specific to Indian commercial banking, as against descriptive CAMEL-ranking approaches.</w:t>
            </w:r>
          </w:p>
        </w:tc>
        <w:tc>
          <w:tcPr>
            <w:tcW w:w="1682"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3E38EA27" w14:textId="77777777" w:rsidR="009F3736" w:rsidRDefault="00000000" w:rsidP="006F3F3C">
            <w:pPr>
              <w:spacing w:line="276" w:lineRule="auto"/>
            </w:pPr>
            <w:r>
              <w:rPr>
                <w:sz w:val="19"/>
                <w:szCs w:val="19"/>
              </w:rPr>
              <w:t>Long-term Debt/Total Debt; Working Capital/Total Assets; OPBAT/Capital Fund; OPBAT/Sales; Quick Ratio; Growth in Total Assets</w:t>
            </w:r>
          </w:p>
        </w:tc>
        <w:tc>
          <w:tcPr>
            <w:tcW w:w="2349"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287BA579" w14:textId="77777777" w:rsidR="009F3736" w:rsidRDefault="00000000" w:rsidP="006F3F3C">
            <w:pPr>
              <w:spacing w:line="276" w:lineRule="auto"/>
            </w:pPr>
            <w:r>
              <w:rPr>
                <w:sz w:val="19"/>
                <w:szCs w:val="19"/>
              </w:rPr>
              <w:t>Confined to the banking sector only; small sample (75 banks). Not extended to NBFCs or cooperative banks (recommended future extension). No explainability techniques applied.</w:t>
            </w:r>
          </w:p>
        </w:tc>
      </w:tr>
      <w:tr w:rsidR="009F3736" w14:paraId="2004850E" w14:textId="77777777" w:rsidTr="00C83611">
        <w:tc>
          <w:tcPr>
            <w:tcW w:w="495"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38FC1DA8" w14:textId="77777777" w:rsidR="009F3736" w:rsidRDefault="00000000" w:rsidP="006F3F3C">
            <w:pPr>
              <w:spacing w:line="276" w:lineRule="auto"/>
            </w:pPr>
            <w:r>
              <w:rPr>
                <w:b/>
                <w:bCs/>
                <w:sz w:val="19"/>
                <w:szCs w:val="19"/>
              </w:rPr>
              <w:t>7</w:t>
            </w:r>
          </w:p>
        </w:tc>
        <w:tc>
          <w:tcPr>
            <w:tcW w:w="177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3B0A884E" w14:textId="77777777" w:rsidR="009F3736" w:rsidRDefault="00000000" w:rsidP="006F3F3C">
            <w:pPr>
              <w:spacing w:after="100" w:line="276" w:lineRule="auto"/>
            </w:pPr>
            <w:r>
              <w:rPr>
                <w:sz w:val="19"/>
                <w:szCs w:val="19"/>
              </w:rPr>
              <w:t>Explainable Machine Learning for Financial Distress Prediction: Evidence from Vietnam</w:t>
            </w:r>
          </w:p>
          <w:p w14:paraId="1E1BDCBF" w14:textId="77777777" w:rsidR="009F3736" w:rsidRDefault="00000000" w:rsidP="006F3F3C">
            <w:pPr>
              <w:spacing w:line="276" w:lineRule="auto"/>
            </w:pPr>
            <w:r>
              <w:rPr>
                <w:sz w:val="19"/>
                <w:szCs w:val="19"/>
              </w:rPr>
              <w:t>Tran, Le, Nguyen and Nguyen (2022)</w:t>
            </w:r>
          </w:p>
        </w:tc>
        <w:tc>
          <w:tcPr>
            <w:tcW w:w="3138"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2DF05F02" w14:textId="77777777" w:rsidR="009F3736" w:rsidRDefault="00000000" w:rsidP="006F3F3C">
            <w:pPr>
              <w:spacing w:line="276" w:lineRule="auto"/>
            </w:pPr>
            <w:r>
              <w:rPr>
                <w:sz w:val="19"/>
                <w:szCs w:val="19"/>
              </w:rPr>
              <w:t xml:space="preserve">Compared six ML algorithms, logistic regression, SVM, Decision Tree, Random Forest, ANN and </w:t>
            </w:r>
            <w:proofErr w:type="spellStart"/>
            <w:r>
              <w:rPr>
                <w:sz w:val="19"/>
                <w:szCs w:val="19"/>
              </w:rPr>
              <w:t>XGBoost</w:t>
            </w:r>
            <w:proofErr w:type="spellEnd"/>
            <w:r>
              <w:rPr>
                <w:sz w:val="19"/>
                <w:szCs w:val="19"/>
              </w:rPr>
              <w:t>, for listed Vietnamese firms (2010-2021). Applied SHAP values to interpret which financial ratios drove predictions, addressing the black-box criticism of ML in finance. Ensemble/boosting methods found to achieve the highest predictive accuracy among the models compared. Demonstrated a transferable explainable-AI (XAI) framework applicable across emerging Asian markets.</w:t>
            </w:r>
          </w:p>
        </w:tc>
        <w:tc>
          <w:tcPr>
            <w:tcW w:w="1682"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79799E79" w14:textId="77777777" w:rsidR="009F3736" w:rsidRDefault="00000000" w:rsidP="006F3F3C">
            <w:pPr>
              <w:spacing w:line="276" w:lineRule="auto"/>
            </w:pPr>
            <w:r>
              <w:rPr>
                <w:sz w:val="19"/>
                <w:szCs w:val="19"/>
              </w:rPr>
              <w:t>Long-term Debt/Equity; Enterprise Value/Revenue; Accounts Payable/Equity; Diluted EPS; standard liquidity, profitability and leverage ratios</w:t>
            </w:r>
          </w:p>
        </w:tc>
        <w:tc>
          <w:tcPr>
            <w:tcW w:w="2349"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49C1847D" w14:textId="77777777" w:rsidR="009F3736" w:rsidRDefault="00000000" w:rsidP="006F3F3C">
            <w:pPr>
              <w:spacing w:line="276" w:lineRule="auto"/>
            </w:pPr>
            <w:r>
              <w:rPr>
                <w:sz w:val="19"/>
                <w:szCs w:val="19"/>
              </w:rPr>
              <w:t>Confined to the Vietnamese market. Framework not yet applied or tested on other emerging economies such as India, explicitly identified as an opportunity for this thesis.</w:t>
            </w:r>
          </w:p>
        </w:tc>
      </w:tr>
      <w:tr w:rsidR="009F3736" w14:paraId="55421BB4" w14:textId="77777777" w:rsidTr="00C83611">
        <w:tc>
          <w:tcPr>
            <w:tcW w:w="495"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68713529" w14:textId="77777777" w:rsidR="009F3736" w:rsidRDefault="00000000" w:rsidP="006F3F3C">
            <w:pPr>
              <w:spacing w:line="276" w:lineRule="auto"/>
            </w:pPr>
            <w:r>
              <w:rPr>
                <w:b/>
                <w:bCs/>
                <w:sz w:val="19"/>
                <w:szCs w:val="19"/>
              </w:rPr>
              <w:t>8</w:t>
            </w:r>
          </w:p>
        </w:tc>
        <w:tc>
          <w:tcPr>
            <w:tcW w:w="177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5A11663F" w14:textId="77777777" w:rsidR="009F3736" w:rsidRDefault="00000000" w:rsidP="006F3F3C">
            <w:pPr>
              <w:spacing w:after="100" w:line="276" w:lineRule="auto"/>
            </w:pPr>
            <w:r>
              <w:rPr>
                <w:sz w:val="19"/>
                <w:szCs w:val="19"/>
              </w:rPr>
              <w:t>Evaluating the Accuracy of Prediction in Accounting-Based Models for Companies in India Under IBC</w:t>
            </w:r>
          </w:p>
          <w:p w14:paraId="688C5E7E" w14:textId="77777777" w:rsidR="009F3736" w:rsidRDefault="00000000" w:rsidP="006F3F3C">
            <w:pPr>
              <w:spacing w:line="276" w:lineRule="auto"/>
            </w:pPr>
            <w:r>
              <w:rPr>
                <w:sz w:val="19"/>
                <w:szCs w:val="19"/>
              </w:rPr>
              <w:t>Gupta (2023)</w:t>
            </w:r>
          </w:p>
        </w:tc>
        <w:tc>
          <w:tcPr>
            <w:tcW w:w="3138"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6C11FF48" w14:textId="77777777" w:rsidR="009F3736" w:rsidRDefault="00000000" w:rsidP="006F3F3C">
            <w:pPr>
              <w:spacing w:line="276" w:lineRule="auto"/>
            </w:pPr>
            <w:r>
              <w:rPr>
                <w:sz w:val="19"/>
                <w:szCs w:val="19"/>
              </w:rPr>
              <w:t xml:space="preserve">Compared four accounting-based models, Altman original, Altman Emerging-Market variant, Ohlson, and Zmijewski, against Merton's market-based structural model. Used a matched sample of 30 IBC-admitted firms and 30 solvent firms. The Ohlson model was found to have the highest predictive accuracy among the accounting-based models. Merton's market-based model was found to outperform all accounting-based alternatives overall. Concluded </w:t>
            </w:r>
            <w:r>
              <w:rPr>
                <w:sz w:val="19"/>
                <w:szCs w:val="19"/>
              </w:rPr>
              <w:lastRenderedPageBreak/>
              <w:t>that legacy Western models require recalibration with qualitative/region-specific variables for reliable use in India's post-IBC context.</w:t>
            </w:r>
          </w:p>
        </w:tc>
        <w:tc>
          <w:tcPr>
            <w:tcW w:w="1682"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097B627F" w14:textId="77777777" w:rsidR="009F3736" w:rsidRDefault="00000000" w:rsidP="006F3F3C">
            <w:pPr>
              <w:spacing w:line="276" w:lineRule="auto"/>
            </w:pPr>
            <w:r>
              <w:rPr>
                <w:sz w:val="19"/>
                <w:szCs w:val="19"/>
              </w:rPr>
              <w:lastRenderedPageBreak/>
              <w:t>Accounting-based risk scores (Altman, Ohlson, Zmijewski); Credit ratings; Market capitalisation; Merton structural (market-based) inputs</w:t>
            </w:r>
          </w:p>
        </w:tc>
        <w:tc>
          <w:tcPr>
            <w:tcW w:w="2349"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5D7E66FF" w14:textId="77777777" w:rsidR="009F3736" w:rsidRDefault="00000000" w:rsidP="006641FA">
            <w:pPr>
              <w:spacing w:line="276" w:lineRule="auto"/>
            </w:pPr>
            <w:r>
              <w:rPr>
                <w:sz w:val="19"/>
                <w:szCs w:val="19"/>
              </w:rPr>
              <w:t>Small matched sample (30 + 30 firms). Qualitative and regional/industry-specific predictors omitted. Only accounting- and market-based approaches tested; no machine-learning comparison.</w:t>
            </w:r>
          </w:p>
        </w:tc>
      </w:tr>
      <w:tr w:rsidR="009F3736" w14:paraId="2D805543" w14:textId="77777777" w:rsidTr="00C83611">
        <w:tc>
          <w:tcPr>
            <w:tcW w:w="495"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642DA4C6" w14:textId="77777777" w:rsidR="009F3736" w:rsidRDefault="00000000" w:rsidP="006F3F3C">
            <w:pPr>
              <w:spacing w:line="276" w:lineRule="auto"/>
            </w:pPr>
            <w:r>
              <w:rPr>
                <w:b/>
                <w:bCs/>
                <w:sz w:val="19"/>
                <w:szCs w:val="19"/>
              </w:rPr>
              <w:t>9</w:t>
            </w:r>
          </w:p>
        </w:tc>
        <w:tc>
          <w:tcPr>
            <w:tcW w:w="177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46173EB5" w14:textId="77777777" w:rsidR="009F3736" w:rsidRDefault="00000000" w:rsidP="006F3F3C">
            <w:pPr>
              <w:spacing w:after="100" w:line="276" w:lineRule="auto"/>
            </w:pPr>
            <w:r>
              <w:rPr>
                <w:sz w:val="19"/>
                <w:szCs w:val="19"/>
              </w:rPr>
              <w:t>Prediction of Financial Distress in the Indian Corporate Sector: An Improvement over Altman's Z-score Model</w:t>
            </w:r>
          </w:p>
          <w:p w14:paraId="04CD8C7C" w14:textId="77777777" w:rsidR="009F3736" w:rsidRDefault="00000000" w:rsidP="006F3F3C">
            <w:pPr>
              <w:spacing w:line="276" w:lineRule="auto"/>
            </w:pPr>
            <w:r>
              <w:rPr>
                <w:sz w:val="19"/>
                <w:szCs w:val="19"/>
              </w:rPr>
              <w:t>Singh and Singla (2023)</w:t>
            </w:r>
          </w:p>
        </w:tc>
        <w:tc>
          <w:tcPr>
            <w:tcW w:w="3138"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5C9325A5" w14:textId="77777777" w:rsidR="009F3736" w:rsidRDefault="00000000" w:rsidP="006F3F3C">
            <w:pPr>
              <w:spacing w:line="276" w:lineRule="auto"/>
            </w:pPr>
            <w:r>
              <w:rPr>
                <w:sz w:val="19"/>
                <w:szCs w:val="19"/>
              </w:rPr>
              <w:t>Re-estimated Altman's Z-score coefficients using contemporary Indian manufacturing data. Developed, via stepwise logistic regression, a simplified five-factor model that outperformed the original Altman Z-score for Indian manufacturers. Demonstrated that shifting taxation frameworks, local macroeconomic trends and evolving accounting norms had eroded the relevance of legacy Western default weights over time. Validated using Shapiro-Wilk, Mann-Whitney and ROC/AUROC diagnostics.</w:t>
            </w:r>
          </w:p>
        </w:tc>
        <w:tc>
          <w:tcPr>
            <w:tcW w:w="1682"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1418186A" w14:textId="77777777" w:rsidR="009F3736" w:rsidRDefault="00000000" w:rsidP="006F3F3C">
            <w:pPr>
              <w:spacing w:line="276" w:lineRule="auto"/>
            </w:pPr>
            <w:r>
              <w:rPr>
                <w:sz w:val="19"/>
                <w:szCs w:val="19"/>
              </w:rPr>
              <w:t xml:space="preserve">Quick Assets/Current Liabilities; Quick Assets/Sales; CFFO/Total Assets; Sales Growth; </w:t>
            </w:r>
            <w:proofErr w:type="gramStart"/>
            <w:r>
              <w:rPr>
                <w:sz w:val="19"/>
                <w:szCs w:val="19"/>
              </w:rPr>
              <w:t>log(</w:t>
            </w:r>
            <w:proofErr w:type="gramEnd"/>
            <w:r>
              <w:rPr>
                <w:sz w:val="19"/>
                <w:szCs w:val="19"/>
              </w:rPr>
              <w:t>Market Capitalisation)</w:t>
            </w:r>
          </w:p>
        </w:tc>
        <w:tc>
          <w:tcPr>
            <w:tcW w:w="2349"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7B6D5C71" w14:textId="77777777" w:rsidR="009F3736" w:rsidRDefault="00000000" w:rsidP="006F3F3C">
            <w:pPr>
              <w:spacing w:line="276" w:lineRule="auto"/>
            </w:pPr>
            <w:r>
              <w:rPr>
                <w:sz w:val="19"/>
                <w:szCs w:val="19"/>
              </w:rPr>
              <w:t>Confined to manufacturing-listed firms only; no ML/ensemble comparison. Not tested across additional manufacturing sub-sectors or time periods (recommended future work). No explainability analysis.</w:t>
            </w:r>
          </w:p>
        </w:tc>
      </w:tr>
      <w:tr w:rsidR="009F3736" w14:paraId="41524EEA" w14:textId="77777777" w:rsidTr="00C83611">
        <w:tc>
          <w:tcPr>
            <w:tcW w:w="495"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2F53A8B5" w14:textId="77777777" w:rsidR="009F3736" w:rsidRDefault="00000000" w:rsidP="006F3F3C">
            <w:pPr>
              <w:spacing w:line="276" w:lineRule="auto"/>
            </w:pPr>
            <w:r>
              <w:rPr>
                <w:b/>
                <w:bCs/>
                <w:sz w:val="19"/>
                <w:szCs w:val="19"/>
              </w:rPr>
              <w:t>10</w:t>
            </w:r>
          </w:p>
        </w:tc>
        <w:tc>
          <w:tcPr>
            <w:tcW w:w="177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377BF887" w14:textId="77777777" w:rsidR="009F3736" w:rsidRDefault="00000000" w:rsidP="006F3F3C">
            <w:pPr>
              <w:spacing w:after="100" w:line="276" w:lineRule="auto"/>
            </w:pPr>
            <w:r>
              <w:rPr>
                <w:sz w:val="19"/>
                <w:szCs w:val="19"/>
              </w:rPr>
              <w:t>Interpreting the Prediction Results of the Tree-Based Gradient Boosting Models for Financial Distress Prediction with an Explainable Machine Learning Approach</w:t>
            </w:r>
          </w:p>
          <w:p w14:paraId="29FA258A" w14:textId="77777777" w:rsidR="009F3736" w:rsidRDefault="00000000" w:rsidP="006F3F3C">
            <w:pPr>
              <w:spacing w:line="276" w:lineRule="auto"/>
            </w:pPr>
            <w:r>
              <w:rPr>
                <w:sz w:val="19"/>
                <w:szCs w:val="19"/>
              </w:rPr>
              <w:t>Liu, Li, Ouyang, Liu and Wu (2023)</w:t>
            </w:r>
          </w:p>
        </w:tc>
        <w:tc>
          <w:tcPr>
            <w:tcW w:w="3138"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7C7EF872" w14:textId="77777777" w:rsidR="009F3736" w:rsidRDefault="00000000" w:rsidP="006F3F3C">
            <w:pPr>
              <w:spacing w:line="276" w:lineRule="auto"/>
            </w:pPr>
            <w:r>
              <w:rPr>
                <w:sz w:val="19"/>
                <w:szCs w:val="19"/>
              </w:rPr>
              <w:t>Applied SHAP values to interpret tree-based gradient boosting (</w:t>
            </w:r>
            <w:proofErr w:type="spellStart"/>
            <w:r>
              <w:rPr>
                <w:sz w:val="19"/>
                <w:szCs w:val="19"/>
              </w:rPr>
              <w:t>XGBoost</w:t>
            </w:r>
            <w:proofErr w:type="spellEnd"/>
            <w:r>
              <w:rPr>
                <w:sz w:val="19"/>
                <w:szCs w:val="19"/>
              </w:rPr>
              <w:t>/</w:t>
            </w:r>
            <w:proofErr w:type="spellStart"/>
            <w:r>
              <w:rPr>
                <w:sz w:val="19"/>
                <w:szCs w:val="19"/>
              </w:rPr>
              <w:t>LightGBM</w:t>
            </w:r>
            <w:proofErr w:type="spellEnd"/>
            <w:r>
              <w:rPr>
                <w:sz w:val="19"/>
                <w:szCs w:val="19"/>
              </w:rPr>
              <w:t>) distress models for a large panel of Chinese listed firms. Leverage, profitability and liquidity ratios identified as the top SHAP-ranked predictors of distress. Gradient boosting found to outperform logistic regression while remaining interpretable through SHAP. Demonstrated SHAP summary, dependence and force plots as tools for both global and local interpretability.</w:t>
            </w:r>
          </w:p>
        </w:tc>
        <w:tc>
          <w:tcPr>
            <w:tcW w:w="1682"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2E0E1B09" w14:textId="77777777" w:rsidR="009F3736" w:rsidRDefault="00000000" w:rsidP="006F3F3C">
            <w:pPr>
              <w:spacing w:line="276" w:lineRule="auto"/>
            </w:pPr>
            <w:r>
              <w:rPr>
                <w:sz w:val="19"/>
                <w:szCs w:val="19"/>
              </w:rPr>
              <w:t>Leverage ratios; Profitability ratios; Liquidity ratios; Growth ratios; SHAP interaction values</w:t>
            </w:r>
          </w:p>
        </w:tc>
        <w:tc>
          <w:tcPr>
            <w:tcW w:w="2349"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6E2FF837" w14:textId="77777777" w:rsidR="009F3736" w:rsidRDefault="00000000" w:rsidP="006F3F3C">
            <w:pPr>
              <w:spacing w:line="276" w:lineRule="auto"/>
            </w:pPr>
            <w:r>
              <w:rPr>
                <w:sz w:val="19"/>
                <w:szCs w:val="19"/>
              </w:rPr>
              <w:t>Confined to Chinese listed firms. Emerging markets such as India left unexplored, explicitly identified as a gap this thesis addresses via Objective 3.</w:t>
            </w:r>
          </w:p>
        </w:tc>
      </w:tr>
      <w:tr w:rsidR="009F3736" w14:paraId="4202BB2E" w14:textId="77777777" w:rsidTr="00C83611">
        <w:tc>
          <w:tcPr>
            <w:tcW w:w="495"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0DAA4772" w14:textId="77777777" w:rsidR="009F3736" w:rsidRDefault="00000000" w:rsidP="006F3F3C">
            <w:pPr>
              <w:spacing w:line="276" w:lineRule="auto"/>
            </w:pPr>
            <w:r>
              <w:rPr>
                <w:b/>
                <w:bCs/>
                <w:sz w:val="19"/>
                <w:szCs w:val="19"/>
              </w:rPr>
              <w:t>11</w:t>
            </w:r>
          </w:p>
        </w:tc>
        <w:tc>
          <w:tcPr>
            <w:tcW w:w="177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58838B1F" w14:textId="77777777" w:rsidR="009F3736" w:rsidRDefault="00000000" w:rsidP="006F3F3C">
            <w:pPr>
              <w:spacing w:after="100" w:line="276" w:lineRule="auto"/>
            </w:pPr>
            <w:r>
              <w:rPr>
                <w:sz w:val="19"/>
                <w:szCs w:val="19"/>
              </w:rPr>
              <w:t>Financial Distress Warning and Risk Path Analysis for Chinese Listed Companies: An Interpretable Machine Learning Approach</w:t>
            </w:r>
          </w:p>
          <w:p w14:paraId="497D12A1" w14:textId="77777777" w:rsidR="009F3736" w:rsidRDefault="00000000" w:rsidP="006F3F3C">
            <w:pPr>
              <w:spacing w:line="276" w:lineRule="auto"/>
            </w:pPr>
            <w:r>
              <w:rPr>
                <w:sz w:val="19"/>
                <w:szCs w:val="19"/>
              </w:rPr>
              <w:t>Deng, Li, Zhu, Wang, Ning, Yi and Shimada (2025)</w:t>
            </w:r>
          </w:p>
        </w:tc>
        <w:tc>
          <w:tcPr>
            <w:tcW w:w="3138"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5E4099AE" w14:textId="77777777" w:rsidR="009F3736" w:rsidRDefault="00000000" w:rsidP="006F3F3C">
            <w:pPr>
              <w:spacing w:line="276" w:lineRule="auto"/>
            </w:pPr>
            <w:r>
              <w:rPr>
                <w:sz w:val="19"/>
                <w:szCs w:val="19"/>
              </w:rPr>
              <w:t xml:space="preserve">Developed an interpretable early-warning model for Chinese A-share listed firms (2010-2024) using </w:t>
            </w:r>
            <w:proofErr w:type="spellStart"/>
            <w:r>
              <w:rPr>
                <w:sz w:val="19"/>
                <w:szCs w:val="19"/>
              </w:rPr>
              <w:t>XGBoost</w:t>
            </w:r>
            <w:proofErr w:type="spellEnd"/>
            <w:r>
              <w:rPr>
                <w:sz w:val="19"/>
                <w:szCs w:val="19"/>
              </w:rPr>
              <w:t xml:space="preserve"> optimised via the NSGA-II multi-objective genetic algorithm. Combined SHAP values with Interpretive Structural Modelling (ISM) to map a five-level risk-formation pathway across multiple warning windows. Reported gains of 3.32% in accuracy and 2.15% in efficiency over baseline models. Found the predictive influence of profitability indicators diminished as the lead time before distress increased. Addressed the lagging, ex-post nature of China's regulatory </w:t>
            </w:r>
            <w:r>
              <w:rPr>
                <w:sz w:val="19"/>
                <w:szCs w:val="19"/>
              </w:rPr>
              <w:lastRenderedPageBreak/>
              <w:t>special-treatment (ST) distress designation.</w:t>
            </w:r>
          </w:p>
        </w:tc>
        <w:tc>
          <w:tcPr>
            <w:tcW w:w="1682"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6F549754" w14:textId="77777777" w:rsidR="009F3736" w:rsidRDefault="00000000" w:rsidP="006F3F3C">
            <w:pPr>
              <w:spacing w:line="276" w:lineRule="auto"/>
            </w:pPr>
            <w:r>
              <w:rPr>
                <w:sz w:val="19"/>
                <w:szCs w:val="19"/>
              </w:rPr>
              <w:lastRenderedPageBreak/>
              <w:t>Profitability indicators; standard distress-warning financial ratios; evaluated across multiple lead-time warning windows</w:t>
            </w:r>
          </w:p>
        </w:tc>
        <w:tc>
          <w:tcPr>
            <w:tcW w:w="2349"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1B3E59AB" w14:textId="77777777" w:rsidR="009F3736" w:rsidRDefault="00000000" w:rsidP="006F3F3C">
            <w:pPr>
              <w:spacing w:line="276" w:lineRule="auto"/>
            </w:pPr>
            <w:r>
              <w:rPr>
                <w:sz w:val="19"/>
                <w:szCs w:val="19"/>
              </w:rPr>
              <w:t>Confined to the Chinese A-share market and its specific ST-designation regulatory context. Interpretability approach not tested in other emerging/government-influenced markets such as India.</w:t>
            </w:r>
          </w:p>
        </w:tc>
      </w:tr>
      <w:tr w:rsidR="009F3736" w14:paraId="217F9568" w14:textId="77777777" w:rsidTr="00C83611">
        <w:tc>
          <w:tcPr>
            <w:tcW w:w="495"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7DD3A72D" w14:textId="77777777" w:rsidR="009F3736" w:rsidRDefault="00000000" w:rsidP="006F3F3C">
            <w:pPr>
              <w:spacing w:line="276" w:lineRule="auto"/>
            </w:pPr>
            <w:r>
              <w:rPr>
                <w:b/>
                <w:bCs/>
                <w:sz w:val="19"/>
                <w:szCs w:val="19"/>
              </w:rPr>
              <w:t>12</w:t>
            </w:r>
          </w:p>
        </w:tc>
        <w:tc>
          <w:tcPr>
            <w:tcW w:w="177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3BC176E3" w14:textId="77777777" w:rsidR="009F3736" w:rsidRDefault="00000000" w:rsidP="006F3F3C">
            <w:pPr>
              <w:spacing w:after="100" w:line="276" w:lineRule="auto"/>
            </w:pPr>
            <w:r>
              <w:rPr>
                <w:sz w:val="19"/>
                <w:szCs w:val="19"/>
              </w:rPr>
              <w:t>Predicting Financial Distress in Emerging Markets: The Case of Indian Small Enterprises</w:t>
            </w:r>
          </w:p>
          <w:p w14:paraId="07FAC0F4" w14:textId="77777777" w:rsidR="009F3736" w:rsidRDefault="00000000" w:rsidP="006F3F3C">
            <w:pPr>
              <w:spacing w:line="276" w:lineRule="auto"/>
            </w:pPr>
            <w:r>
              <w:rPr>
                <w:sz w:val="19"/>
                <w:szCs w:val="19"/>
              </w:rPr>
              <w:t>Mahesh, Kumari, Sharma, N and Ramesh (2025)</w:t>
            </w:r>
          </w:p>
        </w:tc>
        <w:tc>
          <w:tcPr>
            <w:tcW w:w="3138"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39C905FE" w14:textId="77777777" w:rsidR="009F3736" w:rsidRDefault="00000000" w:rsidP="006F3F3C">
            <w:pPr>
              <w:spacing w:line="276" w:lineRule="auto"/>
            </w:pPr>
            <w:r>
              <w:rPr>
                <w:sz w:val="19"/>
                <w:szCs w:val="19"/>
              </w:rPr>
              <w:t>Examined financial distress among small enterprises listed on the BSE (2008-2022), combining firm ratios with macroeconomic indicators in a panel logit model. Used the Springate S-score for baseline distress labelling. Found the Economic Policy Uncertainty (EPU) Index significantly elevated distress probability beyond what firm-level ratios alone explained. Addressed the neglect of small enterprises in Indian distress literature, which had focused predominantly on large corporations.</w:t>
            </w:r>
          </w:p>
        </w:tc>
        <w:tc>
          <w:tcPr>
            <w:tcW w:w="1682"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6FF7A156" w14:textId="77777777" w:rsidR="009F3736" w:rsidRDefault="00000000" w:rsidP="006F3F3C">
            <w:pPr>
              <w:spacing w:line="276" w:lineRule="auto"/>
            </w:pPr>
            <w:r>
              <w:rPr>
                <w:sz w:val="19"/>
                <w:szCs w:val="19"/>
              </w:rPr>
              <w:t>CFO/Sales, Current Ratio, Quick Ratio, Net Working Capital; Net Income Ratio, Leverage, Asset Turnover, ROA; Firm Size, Book Value of Equity; GDP Growth, Inflation, Economic Policy Uncertainty (EPU) Index</w:t>
            </w:r>
          </w:p>
        </w:tc>
        <w:tc>
          <w:tcPr>
            <w:tcW w:w="2349"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09F545B3" w14:textId="77777777" w:rsidR="009F3736" w:rsidRDefault="00000000" w:rsidP="006F3F3C">
            <w:pPr>
              <w:spacing w:line="276" w:lineRule="auto"/>
            </w:pPr>
            <w:r>
              <w:rPr>
                <w:sz w:val="19"/>
                <w:szCs w:val="19"/>
              </w:rPr>
              <w:t>Confined to small enterprises only; not extended to large-cap/mid-cap Indian firms (recommended future work). Findings on macro significance contradict Sethi and Mahadik (2025), leaving the role of macro variables in Indian distress models unresolved.</w:t>
            </w:r>
          </w:p>
        </w:tc>
      </w:tr>
      <w:tr w:rsidR="009F3736" w14:paraId="2CF18024" w14:textId="77777777" w:rsidTr="00C83611">
        <w:tc>
          <w:tcPr>
            <w:tcW w:w="495"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36938528" w14:textId="77777777" w:rsidR="009F3736" w:rsidRDefault="00000000" w:rsidP="006F3F3C">
            <w:pPr>
              <w:spacing w:line="276" w:lineRule="auto"/>
            </w:pPr>
            <w:r>
              <w:rPr>
                <w:b/>
                <w:bCs/>
                <w:sz w:val="19"/>
                <w:szCs w:val="19"/>
              </w:rPr>
              <w:t>13</w:t>
            </w:r>
          </w:p>
        </w:tc>
        <w:tc>
          <w:tcPr>
            <w:tcW w:w="177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54682938" w14:textId="77777777" w:rsidR="009F3736" w:rsidRDefault="00000000" w:rsidP="006F3F3C">
            <w:pPr>
              <w:spacing w:after="100" w:line="276" w:lineRule="auto"/>
            </w:pPr>
            <w:r>
              <w:rPr>
                <w:sz w:val="19"/>
                <w:szCs w:val="19"/>
              </w:rPr>
              <w:t>Forecasting Financial Distress for Organizational Sustainability: An Empirical Analysis</w:t>
            </w:r>
          </w:p>
          <w:p w14:paraId="3B023371" w14:textId="77777777" w:rsidR="009F3736" w:rsidRDefault="00000000" w:rsidP="006F3F3C">
            <w:pPr>
              <w:spacing w:line="276" w:lineRule="auto"/>
            </w:pPr>
            <w:r>
              <w:rPr>
                <w:sz w:val="19"/>
                <w:szCs w:val="19"/>
              </w:rPr>
              <w:t>Sethi and Mahadik (2025)</w:t>
            </w:r>
          </w:p>
        </w:tc>
        <w:tc>
          <w:tcPr>
            <w:tcW w:w="3138"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5E7C57AE" w14:textId="77777777" w:rsidR="009F3736" w:rsidRDefault="00000000" w:rsidP="006F3F3C">
            <w:pPr>
              <w:spacing w:line="276" w:lineRule="auto"/>
            </w:pPr>
            <w:r>
              <w:rPr>
                <w:sz w:val="19"/>
                <w:szCs w:val="19"/>
              </w:rPr>
              <w:t>Compared LR, LDA and ANN for Indian non-financial service-sector firms using 42,900 firm-year observations (2012-2022). LR achieved the highest overall accuracy (87.28%), closely followed by ANN (86.39%); LDA was the weakest (72.02%). Macroeconomic variables (interest rate, GDP growth, inflation) were found to be statistically insignificant in this sample, contradicting Mahesh et al. (2025). Tested one versus two hidden layers in the ANN; found no significant accuracy improvement from additional hidden layers. Explicitly linked distress prediction to the Sustainable Development Goals (SDG 1, 8, 11 and 13).</w:t>
            </w:r>
          </w:p>
        </w:tc>
        <w:tc>
          <w:tcPr>
            <w:tcW w:w="1682"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633CA20C" w14:textId="77777777" w:rsidR="009F3736" w:rsidRDefault="00000000" w:rsidP="006F3F3C">
            <w:pPr>
              <w:spacing w:line="276" w:lineRule="auto"/>
            </w:pPr>
            <w:r>
              <w:rPr>
                <w:sz w:val="19"/>
                <w:szCs w:val="19"/>
              </w:rPr>
              <w:t>Interest Coverage Ratio; Debt-to-Equity Ratio; Asset Turnover Ratio; Quick Ratio; EBIT Margin; Interest Rate, GDP Growth, Inflation</w:t>
            </w:r>
          </w:p>
        </w:tc>
        <w:tc>
          <w:tcPr>
            <w:tcW w:w="2349"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28219F85" w14:textId="77777777" w:rsidR="009F3736" w:rsidRDefault="00000000" w:rsidP="006F3F3C">
            <w:pPr>
              <w:spacing w:line="276" w:lineRule="auto"/>
            </w:pPr>
            <w:r>
              <w:rPr>
                <w:sz w:val="19"/>
                <w:szCs w:val="19"/>
              </w:rPr>
              <w:t>Confined to the services sector, not manufacturing. Contested finding on macroeconomic insignificance motivates further testing (Objective 4 of this thesis). No explainability/SHAP analysis applied.</w:t>
            </w:r>
          </w:p>
        </w:tc>
      </w:tr>
      <w:tr w:rsidR="009F3736" w14:paraId="75B483DC" w14:textId="77777777" w:rsidTr="00C83611">
        <w:tc>
          <w:tcPr>
            <w:tcW w:w="495"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47CDC237" w14:textId="77777777" w:rsidR="009F3736" w:rsidRDefault="00000000" w:rsidP="006F3F3C">
            <w:pPr>
              <w:spacing w:line="276" w:lineRule="auto"/>
            </w:pPr>
            <w:r>
              <w:rPr>
                <w:b/>
                <w:bCs/>
                <w:sz w:val="19"/>
                <w:szCs w:val="19"/>
              </w:rPr>
              <w:t>14</w:t>
            </w:r>
          </w:p>
        </w:tc>
        <w:tc>
          <w:tcPr>
            <w:tcW w:w="1770"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3BA0895A" w14:textId="77777777" w:rsidR="009F3736" w:rsidRDefault="00000000" w:rsidP="006F3F3C">
            <w:pPr>
              <w:spacing w:after="100" w:line="276" w:lineRule="auto"/>
            </w:pPr>
            <w:r>
              <w:rPr>
                <w:sz w:val="19"/>
                <w:szCs w:val="19"/>
              </w:rPr>
              <w:t>Explainable AI for Financial Distress: Evidence from Market Volatility and Regime Dynamics</w:t>
            </w:r>
          </w:p>
          <w:p w14:paraId="18C22594" w14:textId="77777777" w:rsidR="009F3736" w:rsidRDefault="00000000" w:rsidP="006F3F3C">
            <w:pPr>
              <w:spacing w:line="276" w:lineRule="auto"/>
            </w:pPr>
            <w:r>
              <w:rPr>
                <w:sz w:val="19"/>
                <w:szCs w:val="19"/>
              </w:rPr>
              <w:t>Tabatabaei and Mousavi (2026)</w:t>
            </w:r>
          </w:p>
        </w:tc>
        <w:tc>
          <w:tcPr>
            <w:tcW w:w="3138"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6B28571C" w14:textId="77777777" w:rsidR="009F3736" w:rsidRDefault="00000000" w:rsidP="006F3F3C">
            <w:pPr>
              <w:spacing w:line="276" w:lineRule="auto"/>
            </w:pPr>
            <w:r>
              <w:rPr>
                <w:sz w:val="19"/>
                <w:szCs w:val="19"/>
              </w:rPr>
              <w:t xml:space="preserve">Investigated the CBOE VIX (market volatility) as a regime-dependent interaction term with corporate leverage risk for S&amp;P 100 firms (2000-2025). Used Random Forest and </w:t>
            </w:r>
            <w:proofErr w:type="spellStart"/>
            <w:r>
              <w:rPr>
                <w:sz w:val="19"/>
                <w:szCs w:val="19"/>
              </w:rPr>
              <w:t>XGBoost</w:t>
            </w:r>
            <w:proofErr w:type="spellEnd"/>
            <w:r>
              <w:rPr>
                <w:sz w:val="19"/>
                <w:szCs w:val="19"/>
              </w:rPr>
              <w:t xml:space="preserve"> with regime-specific SHAP analysis across four periods: the 2008 GFC, COVID-19, the 2022 Ukraine/inflation shock, and normal periods. Found that feature importance itself shifted materially across macroeconomic regimes, with VIX and equity-index contributions nearly doubling during the GFC relative to normal periods. Extended </w:t>
            </w:r>
            <w:r>
              <w:rPr>
                <w:sz w:val="19"/>
                <w:szCs w:val="19"/>
              </w:rPr>
              <w:lastRenderedPageBreak/>
              <w:t>Merton's (1974) structural credit-risk theory and the financial-accelerator principle to argue that distress drivers are non-linear and regime-dependent.</w:t>
            </w:r>
          </w:p>
        </w:tc>
        <w:tc>
          <w:tcPr>
            <w:tcW w:w="1682"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05A2BDCB" w14:textId="77777777" w:rsidR="009F3736" w:rsidRDefault="00000000" w:rsidP="006F3F3C">
            <w:pPr>
              <w:spacing w:line="276" w:lineRule="auto"/>
            </w:pPr>
            <w:r>
              <w:rPr>
                <w:sz w:val="19"/>
                <w:szCs w:val="19"/>
              </w:rPr>
              <w:lastRenderedPageBreak/>
              <w:t>Distance to Default (Merton model); Total Debt; Market Value of Equity; S&amp;P 500 Index level; CBOE VIX; Inflation (CPI YoY); 10-Year Treasury Yield</w:t>
            </w:r>
          </w:p>
        </w:tc>
        <w:tc>
          <w:tcPr>
            <w:tcW w:w="2349" w:type="dxa"/>
            <w:tcBorders>
              <w:top w:val="single" w:sz="2" w:space="0" w:color="000000"/>
              <w:left w:val="single" w:sz="2" w:space="0" w:color="000000"/>
              <w:bottom w:val="single" w:sz="2" w:space="0" w:color="000000"/>
              <w:right w:val="single" w:sz="2" w:space="0" w:color="000000"/>
            </w:tcBorders>
            <w:tcMar>
              <w:top w:w="80" w:type="dxa"/>
              <w:left w:w="100" w:type="dxa"/>
              <w:bottom w:w="80" w:type="dxa"/>
              <w:right w:w="100" w:type="dxa"/>
            </w:tcMar>
          </w:tcPr>
          <w:p w14:paraId="4F57C885" w14:textId="77777777" w:rsidR="009F3736" w:rsidRDefault="00000000" w:rsidP="006F3F3C">
            <w:pPr>
              <w:spacing w:line="276" w:lineRule="auto"/>
            </w:pPr>
            <w:r>
              <w:rPr>
                <w:sz w:val="19"/>
                <w:szCs w:val="19"/>
              </w:rPr>
              <w:t>Confined to large-cap US firms (S&amp;P 100). Dynamic/regime-dependent explainability perspective not yet applied to India-focused distress research, explicitly identified as relevant to this thesis.</w:t>
            </w:r>
          </w:p>
        </w:tc>
      </w:tr>
    </w:tbl>
    <w:p w14:paraId="29337E31" w14:textId="77777777" w:rsidR="009F3736" w:rsidRDefault="009F3736" w:rsidP="00C83611">
      <w:pPr>
        <w:spacing w:before="200"/>
      </w:pPr>
    </w:p>
    <w:p w14:paraId="377CED9A" w14:textId="16AD5A0C" w:rsidR="009F3736" w:rsidRPr="00FD378A" w:rsidRDefault="00D02A07" w:rsidP="00C83611">
      <w:pPr>
        <w:pStyle w:val="Heading3"/>
        <w:spacing w:before="320" w:after="200"/>
        <w:rPr>
          <w:b/>
          <w:bCs/>
          <w:color w:val="000000"/>
        </w:rPr>
      </w:pPr>
      <w:r w:rsidRPr="00FD378A">
        <w:rPr>
          <w:b/>
          <w:bCs/>
          <w:color w:val="000000"/>
        </w:rPr>
        <w:t>2.1.1 National Perspective</w:t>
      </w:r>
    </w:p>
    <w:p w14:paraId="7F998142" w14:textId="77777777" w:rsidR="00BC4193" w:rsidRDefault="00FD378A" w:rsidP="00FD378A">
      <w:pPr>
        <w:pStyle w:val="Heading3"/>
        <w:spacing w:before="320" w:after="200" w:line="276" w:lineRule="auto"/>
        <w:jc w:val="both"/>
        <w:rPr>
          <w:b/>
          <w:bCs/>
          <w:color w:val="auto"/>
        </w:rPr>
      </w:pPr>
      <w:r w:rsidRPr="00FD378A">
        <w:rPr>
          <w:b/>
          <w:bCs/>
          <w:color w:val="auto"/>
        </w:rPr>
        <w:t xml:space="preserve">Sehgal, Mishra, </w:t>
      </w:r>
      <w:proofErr w:type="spellStart"/>
      <w:r w:rsidRPr="00FD378A">
        <w:rPr>
          <w:b/>
          <w:bCs/>
          <w:color w:val="auto"/>
        </w:rPr>
        <w:t>Deisting</w:t>
      </w:r>
      <w:proofErr w:type="spellEnd"/>
      <w:r w:rsidRPr="00FD378A">
        <w:rPr>
          <w:b/>
          <w:bCs/>
          <w:color w:val="auto"/>
        </w:rPr>
        <w:t xml:space="preserve"> and Vashisht (2021)</w:t>
      </w:r>
    </w:p>
    <w:p w14:paraId="012573F2" w14:textId="6A8EB3ED" w:rsidR="00921EE2" w:rsidRPr="00BC4193" w:rsidRDefault="00FD378A" w:rsidP="00FD378A">
      <w:pPr>
        <w:pStyle w:val="Heading3"/>
        <w:spacing w:before="320" w:after="200" w:line="276" w:lineRule="auto"/>
        <w:jc w:val="both"/>
        <w:rPr>
          <w:b/>
          <w:bCs/>
          <w:color w:val="auto"/>
        </w:rPr>
      </w:pPr>
      <w:r w:rsidRPr="00FD378A">
        <w:rPr>
          <w:color w:val="auto"/>
        </w:rPr>
        <w:t xml:space="preserve">In a study conducted by Sehgal, Mishra, </w:t>
      </w:r>
      <w:proofErr w:type="spellStart"/>
      <w:r w:rsidRPr="00FD378A">
        <w:rPr>
          <w:color w:val="auto"/>
        </w:rPr>
        <w:t>Deisting</w:t>
      </w:r>
      <w:proofErr w:type="spellEnd"/>
      <w:r w:rsidRPr="00FD378A">
        <w:rPr>
          <w:color w:val="auto"/>
        </w:rPr>
        <w:t xml:space="preserve">, and Vashisht, the researchers focused on the financial distress experienced by companies listed on National Stock Exchange during the </w:t>
      </w:r>
      <w:proofErr w:type="gramStart"/>
      <w:r w:rsidRPr="00FD378A">
        <w:rPr>
          <w:color w:val="auto"/>
        </w:rPr>
        <w:t>time period</w:t>
      </w:r>
      <w:proofErr w:type="gramEnd"/>
      <w:r w:rsidRPr="00FD378A">
        <w:rPr>
          <w:color w:val="auto"/>
        </w:rPr>
        <w:t xml:space="preserve"> of 2010–2016. The authors examined the following firm-level variables: return on capital employed, cash flow from operations to total liabilities ratio, asset turnover ratio, fixed assets to total asset ratio, debt to equity ratio, and firm size based on total assets' logarithm. Furthermore, the researchers decided to </w:t>
      </w:r>
      <w:proofErr w:type="spellStart"/>
      <w:r w:rsidRPr="00FD378A">
        <w:rPr>
          <w:color w:val="auto"/>
        </w:rPr>
        <w:t>analyze</w:t>
      </w:r>
      <w:proofErr w:type="spellEnd"/>
      <w:r w:rsidRPr="00FD378A">
        <w:rPr>
          <w:color w:val="auto"/>
        </w:rPr>
        <w:t xml:space="preserve"> three different models: binomial logit, support vector machine (SVM), and artificial neural networks (ANN).</w:t>
      </w:r>
      <w:r>
        <w:rPr>
          <w:color w:val="auto"/>
        </w:rPr>
        <w:t xml:space="preserve"> </w:t>
      </w:r>
      <w:r w:rsidR="00921EE2" w:rsidRPr="00921EE2">
        <w:rPr>
          <w:color w:val="auto"/>
        </w:rPr>
        <w:t>The machine learning models, particularly SVM, were found to perform better than the traditional logit model. The accuracy of the one-year-ahead predictions was also found to be higher than that of the two-year-ahead predictions. The study examined an important issue in the Indian economy, where high GDP growth had continued alongside financial problems faced by many companies. It has been considered an important Indian study supporting Objectives 1 and 2 of the present research.</w:t>
      </w:r>
    </w:p>
    <w:p w14:paraId="61E3CEAD" w14:textId="77777777" w:rsidR="00FD378A" w:rsidRPr="00FD378A" w:rsidRDefault="00FD378A" w:rsidP="00FD378A">
      <w:pPr>
        <w:pStyle w:val="Heading3"/>
        <w:spacing w:before="320" w:after="200" w:line="276" w:lineRule="auto"/>
        <w:jc w:val="both"/>
        <w:rPr>
          <w:b/>
          <w:bCs/>
          <w:color w:val="auto"/>
        </w:rPr>
      </w:pPr>
      <w:r w:rsidRPr="00FD378A">
        <w:rPr>
          <w:b/>
          <w:bCs/>
          <w:color w:val="auto"/>
        </w:rPr>
        <w:t>Mishra, Ashok and Tandon (2021)</w:t>
      </w:r>
    </w:p>
    <w:p w14:paraId="7B7CA7ED" w14:textId="0BFE6256" w:rsidR="00FD378A" w:rsidRPr="00FD378A" w:rsidRDefault="00FD378A" w:rsidP="00FD378A">
      <w:pPr>
        <w:pStyle w:val="Heading3"/>
        <w:spacing w:before="320" w:after="200" w:line="276" w:lineRule="auto"/>
        <w:jc w:val="both"/>
        <w:rPr>
          <w:color w:val="auto"/>
        </w:rPr>
      </w:pPr>
      <w:r w:rsidRPr="00FD378A">
        <w:rPr>
          <w:color w:val="auto"/>
        </w:rPr>
        <w:t xml:space="preserve">Mishra, Ashok and Tandon (2021) studied financial distress in the Indian banking sector using 75 banks for the period 2014–15 to 2018–19. Logistic regression, linear discriminant analysis (LDA), and </w:t>
      </w:r>
      <w:r w:rsidR="00BC4193">
        <w:rPr>
          <w:color w:val="auto"/>
        </w:rPr>
        <w:t>A</w:t>
      </w:r>
      <w:r w:rsidRPr="00FD378A">
        <w:rPr>
          <w:color w:val="auto"/>
        </w:rPr>
        <w:t xml:space="preserve">rtificial </w:t>
      </w:r>
      <w:r w:rsidR="00BC4193">
        <w:rPr>
          <w:color w:val="auto"/>
        </w:rPr>
        <w:t>N</w:t>
      </w:r>
      <w:r w:rsidRPr="00FD378A">
        <w:rPr>
          <w:color w:val="auto"/>
        </w:rPr>
        <w:t xml:space="preserve">eural </w:t>
      </w:r>
      <w:r w:rsidR="00BC4193">
        <w:rPr>
          <w:color w:val="auto"/>
        </w:rPr>
        <w:t>N</w:t>
      </w:r>
      <w:r w:rsidRPr="00FD378A">
        <w:rPr>
          <w:color w:val="auto"/>
        </w:rPr>
        <w:t xml:space="preserve">etwork (ANN) were used for prediction. The variables were selected from the CAMELS framework </w:t>
      </w:r>
      <w:r w:rsidR="00BC4193">
        <w:rPr>
          <w:color w:val="auto"/>
        </w:rPr>
        <w:t>which</w:t>
      </w:r>
      <w:r w:rsidRPr="00FD378A">
        <w:rPr>
          <w:color w:val="auto"/>
        </w:rPr>
        <w:t xml:space="preserve"> covered leverage, profitability, liquidity, and asset growth. The ANN model performed well in comparison with the statistical models and showed better results in some areas. The study also pointed out that Indian commercial banks had received limited attention in terms of comparing different financial distress prediction models. Earlier research had mainly used CAMEL-based ratings to assess bank performance.</w:t>
      </w:r>
    </w:p>
    <w:p w14:paraId="78432136" w14:textId="77777777" w:rsidR="00FD378A" w:rsidRPr="00FD378A" w:rsidRDefault="00FD378A" w:rsidP="00FD378A">
      <w:pPr>
        <w:pStyle w:val="Heading3"/>
        <w:spacing w:before="320" w:after="200" w:line="276" w:lineRule="auto"/>
        <w:jc w:val="both"/>
        <w:rPr>
          <w:b/>
          <w:bCs/>
          <w:color w:val="auto"/>
        </w:rPr>
      </w:pPr>
      <w:r w:rsidRPr="00FD378A">
        <w:rPr>
          <w:b/>
          <w:bCs/>
          <w:color w:val="auto"/>
        </w:rPr>
        <w:t>Gupta (2023)</w:t>
      </w:r>
    </w:p>
    <w:p w14:paraId="425E0708" w14:textId="79A54218" w:rsidR="00FD378A" w:rsidRPr="00FD378A" w:rsidRDefault="00FD378A" w:rsidP="00FD378A">
      <w:pPr>
        <w:pStyle w:val="Heading3"/>
        <w:spacing w:before="320" w:after="200" w:line="276" w:lineRule="auto"/>
        <w:jc w:val="both"/>
        <w:rPr>
          <w:color w:val="auto"/>
        </w:rPr>
      </w:pPr>
      <w:r w:rsidRPr="00FD378A">
        <w:rPr>
          <w:color w:val="auto"/>
        </w:rPr>
        <w:t xml:space="preserve">Gupta (2023) compared four accounting-based models with Merton's market-based structural model for predicting financial distress. The accounting-based models included the original Altman Z-score, the emerging-market version of the Altman Z-score, the Ohlson model, and the Zmijewski model. The study used 30 firms admitted under India's Insolvency and Bankruptcy Code (IBC) and 30 financially sound firms. Among the accounting-based models, </w:t>
      </w:r>
      <w:r w:rsidRPr="00FD378A">
        <w:rPr>
          <w:color w:val="auto"/>
        </w:rPr>
        <w:lastRenderedPageBreak/>
        <w:t>the Ohlson model produced the highest prediction accuracy. However, the Merton model performed better than all four accounting-based models. Th</w:t>
      </w:r>
      <w:r w:rsidR="00BC4193">
        <w:rPr>
          <w:color w:val="auto"/>
        </w:rPr>
        <w:t>is</w:t>
      </w:r>
      <w:r w:rsidRPr="00FD378A">
        <w:rPr>
          <w:color w:val="auto"/>
        </w:rPr>
        <w:t xml:space="preserve"> study suggested that older Western models needed to be modified by including qualitative and India-specific variables before being used in the post-IBC Indian setting. This finding was relevant to Objective 4 of the present study.</w:t>
      </w:r>
    </w:p>
    <w:p w14:paraId="2C40A5D5" w14:textId="77777777" w:rsidR="00FD378A" w:rsidRPr="00FD378A" w:rsidRDefault="00FD378A" w:rsidP="00FD378A">
      <w:pPr>
        <w:pStyle w:val="Heading3"/>
        <w:spacing w:before="320" w:after="200" w:line="276" w:lineRule="auto"/>
        <w:jc w:val="both"/>
        <w:rPr>
          <w:b/>
          <w:bCs/>
          <w:color w:val="auto"/>
        </w:rPr>
      </w:pPr>
      <w:r w:rsidRPr="00FD378A">
        <w:rPr>
          <w:b/>
          <w:bCs/>
          <w:color w:val="auto"/>
        </w:rPr>
        <w:t>Singh and Singla (2023)</w:t>
      </w:r>
    </w:p>
    <w:p w14:paraId="4726B3BF" w14:textId="77777777" w:rsidR="00FD378A" w:rsidRPr="00FD378A" w:rsidRDefault="00FD378A" w:rsidP="00FD378A">
      <w:pPr>
        <w:pStyle w:val="Heading3"/>
        <w:spacing w:before="320" w:after="200" w:line="276" w:lineRule="auto"/>
        <w:jc w:val="both"/>
        <w:rPr>
          <w:color w:val="auto"/>
        </w:rPr>
      </w:pPr>
      <w:r w:rsidRPr="00FD378A">
        <w:rPr>
          <w:color w:val="auto"/>
        </w:rPr>
        <w:t>Singh and Singla (2023) specifically studied financial distress among Indian manufacturing firms. The coefficients of Altman's original model were re-estimated using recent data from Indian manufacturing companies. Based on stepwise logistic regression, a simpler five-factor model was developed. The model included the quick-assets-to-current-liabilities ratio, quick-assets-to-sales ratio, cash flow from operations to total assets, sales growth, and the logarithm of market capitalisation. The new model performed better than the original Altman Z-score in classifying Indian manufacturing firms. The study also suggested that changes in taxation, economic conditions, and accounting practices had affected the usefulness of the older weights developed using Western data. The findings were particularly relevant to the manufacturing focus of the present study.</w:t>
      </w:r>
    </w:p>
    <w:p w14:paraId="32CA7849" w14:textId="77777777" w:rsidR="00FD378A" w:rsidRPr="00FD378A" w:rsidRDefault="00FD378A" w:rsidP="00FD378A">
      <w:pPr>
        <w:pStyle w:val="Heading3"/>
        <w:spacing w:before="320" w:after="200" w:line="276" w:lineRule="auto"/>
        <w:jc w:val="both"/>
        <w:rPr>
          <w:b/>
          <w:bCs/>
          <w:color w:val="auto"/>
        </w:rPr>
      </w:pPr>
      <w:r w:rsidRPr="00FD378A">
        <w:rPr>
          <w:b/>
          <w:bCs/>
          <w:color w:val="auto"/>
        </w:rPr>
        <w:t>Mahesh, Kumari, Sharma, N and Ramesh (2025)</w:t>
      </w:r>
    </w:p>
    <w:p w14:paraId="1C755074" w14:textId="77777777" w:rsidR="00FD378A" w:rsidRPr="00FD378A" w:rsidRDefault="00FD378A" w:rsidP="00FD378A">
      <w:pPr>
        <w:pStyle w:val="Heading3"/>
        <w:spacing w:before="320" w:after="200" w:line="276" w:lineRule="auto"/>
        <w:jc w:val="both"/>
        <w:rPr>
          <w:color w:val="auto"/>
        </w:rPr>
      </w:pPr>
      <w:r w:rsidRPr="00FD378A">
        <w:rPr>
          <w:color w:val="auto"/>
        </w:rPr>
        <w:t xml:space="preserve">Mahesh, Kumari, Sharma, N and Ramesh (2025) studied financial distress among small enterprises listed on the Bombay Stock Exchange during 2008–2022. The analysis included both financial ratios of the firms and broader economic variables. GDP growth, inflation, and the Economic Policy Uncertainty (EPU) Index were considered as macroeconomic variables. A panel logit model was used, while the Springate S-score was used to identify financially distressed firms. The results showed that the EPU Index had a significant relationship with the likelihood of financial distress even after firm-level financial ratios were </w:t>
      </w:r>
      <w:proofErr w:type="gramStart"/>
      <w:r w:rsidRPr="00FD378A">
        <w:rPr>
          <w:color w:val="auto"/>
        </w:rPr>
        <w:t>taken into account</w:t>
      </w:r>
      <w:proofErr w:type="gramEnd"/>
      <w:r w:rsidRPr="00FD378A">
        <w:rPr>
          <w:color w:val="auto"/>
        </w:rPr>
        <w:t>. The study also highlighted that smaller enterprises had received less attention in earlier Indian research, which had mainly focused on large companies. The findings therefore supported the need to consider both firm-level and wider economic factors when studying financial distress.</w:t>
      </w:r>
    </w:p>
    <w:p w14:paraId="5B9C3400" w14:textId="77777777" w:rsidR="00FD378A" w:rsidRPr="00FD378A" w:rsidRDefault="00FD378A" w:rsidP="00FD378A">
      <w:pPr>
        <w:pStyle w:val="Heading3"/>
        <w:spacing w:before="320" w:after="200" w:line="276" w:lineRule="auto"/>
        <w:jc w:val="both"/>
        <w:rPr>
          <w:b/>
          <w:bCs/>
          <w:color w:val="auto"/>
        </w:rPr>
      </w:pPr>
      <w:r w:rsidRPr="00FD378A">
        <w:rPr>
          <w:b/>
          <w:bCs/>
          <w:color w:val="auto"/>
        </w:rPr>
        <w:t>Sethi and Mahadik (2025)</w:t>
      </w:r>
    </w:p>
    <w:p w14:paraId="1283D73E" w14:textId="77777777" w:rsidR="00FD378A" w:rsidRPr="00FD378A" w:rsidRDefault="00FD378A" w:rsidP="00FD378A">
      <w:pPr>
        <w:pStyle w:val="Heading3"/>
        <w:spacing w:before="320" w:after="200" w:line="276" w:lineRule="auto"/>
        <w:jc w:val="both"/>
        <w:rPr>
          <w:color w:val="auto"/>
        </w:rPr>
      </w:pPr>
      <w:r w:rsidRPr="00FD378A">
        <w:rPr>
          <w:color w:val="auto"/>
        </w:rPr>
        <w:t xml:space="preserve">Sethi and Mahadik (2025) studied financial distress among Indian non-financial service-sector firms using 42,900 firm-year observations from 2012 to 2022. Logistic regression, LDA, and ANN were compared, and the study also considered the link between financial distress and the Sustainable Development Goals. Logistic regression recorded the highest classification accuracy of 87.28 per cent, followed by ANN with 86.39 per cent. The study also produced a different result regarding the role of macroeconomic variables. Interest rates, GDP growth, and inflation were found to be statistically insignificant. This finding differed from Mahesh et al. (2025), where the EPU Index was found to have a significant effect on financial distress. This difference in results provided a useful basis for further examining whether macroeconomic </w:t>
      </w:r>
      <w:r w:rsidRPr="00FD378A">
        <w:rPr>
          <w:color w:val="auto"/>
        </w:rPr>
        <w:lastRenderedPageBreak/>
        <w:t>variables improve financial distress prediction in the present study and was therefore relevant to Objective 4.</w:t>
      </w:r>
    </w:p>
    <w:p w14:paraId="4367962A" w14:textId="714510A2" w:rsidR="009F3736" w:rsidRDefault="009311BA" w:rsidP="00D02A07">
      <w:pPr>
        <w:pStyle w:val="Heading3"/>
        <w:spacing w:before="320" w:after="200"/>
        <w:jc w:val="both"/>
      </w:pPr>
      <w:r>
        <w:rPr>
          <w:b/>
          <w:bCs/>
          <w:color w:val="000000"/>
        </w:rPr>
        <w:t>2.1.2 International Perspective</w:t>
      </w:r>
    </w:p>
    <w:p w14:paraId="700A08FE" w14:textId="4B173A1A" w:rsidR="0086278E" w:rsidRDefault="0086278E" w:rsidP="00EB344C">
      <w:pPr>
        <w:spacing w:after="200" w:line="276" w:lineRule="auto"/>
        <w:jc w:val="both"/>
      </w:pPr>
      <w:r w:rsidRPr="0086278E">
        <w:t xml:space="preserve">In 1968, Altman designed the Z-score model, which was considered one of the earliest and most common </w:t>
      </w:r>
      <w:r w:rsidR="001550D0" w:rsidRPr="0086278E">
        <w:t>tools</w:t>
      </w:r>
      <w:r w:rsidRPr="0086278E">
        <w:t xml:space="preserve"> to forecast financial distress. The model was built using the multivariate discriminant analysis (MDA) approach and focused on five financial ratios with respect to liquidity, profitability, leverage, solvency and activity. The research was conducted on 33 bankrupt and 33 non-bankrupt manufacturing companies in the US and was successful in identifying distressed companies with significantly high accuracy prior to their failure for up to 2 years. The Z-score has since been used as a threshold for comparison with traditional and more advanced machine learning methods and is also used as one of the </w:t>
      </w:r>
      <w:r w:rsidR="001550D0" w:rsidRPr="0086278E">
        <w:t>comparisons</w:t>
      </w:r>
      <w:r w:rsidRPr="0086278E">
        <w:t xml:space="preserve"> in the study at hand.</w:t>
      </w:r>
    </w:p>
    <w:p w14:paraId="25057496" w14:textId="77777777" w:rsidR="001947F8" w:rsidRDefault="001947F8" w:rsidP="00EB344C">
      <w:pPr>
        <w:spacing w:after="200" w:line="276" w:lineRule="auto"/>
        <w:jc w:val="both"/>
      </w:pPr>
      <w:r>
        <w:t>Based on Altman’s basic theory, Springate (1978) used stepwise discriminant analysis to isolate four financial ratios from an original set of 19 and created the S-score for predicting bankruptcy. The introduction of a short-term earning to current liabilities factor differentiates the S-score from Z-score in that it enables the measurement of immediate financial stress. The S-score has been employed as a point of reference in various studies and is thus chosen together with Altman’s model for comparison in this study.</w:t>
      </w:r>
    </w:p>
    <w:p w14:paraId="1DC91DA6" w14:textId="77777777" w:rsidR="001947F8" w:rsidRDefault="001947F8" w:rsidP="00EB344C">
      <w:pPr>
        <w:spacing w:after="200" w:line="276" w:lineRule="auto"/>
        <w:jc w:val="both"/>
      </w:pPr>
      <w:r>
        <w:t>However, limitations in MDA caused Ohlson (1980) to design a conditional logit model that provided predictions of bankruptcy for the sample of 105 bankrupt and 2058 non-bankrupt firms in the US. The model identified four predictors of failure probability: size, financial structure, performance, and liquidity of the firm. Although the error rates found in this study were greater than in the past studies, the reason for it was that the authors used financial statements for the study as opposed to information collected by estimation methods.</w:t>
      </w:r>
    </w:p>
    <w:p w14:paraId="3CE4CB8B" w14:textId="77777777" w:rsidR="001947F8" w:rsidRDefault="001947F8" w:rsidP="00EB344C">
      <w:pPr>
        <w:spacing w:after="200" w:line="276" w:lineRule="auto"/>
        <w:jc w:val="both"/>
      </w:pPr>
      <w:r>
        <w:t>Based on Altman’s basic theory, Springate (1978) used stepwise discriminant analysis to isolate four financial ratios from an original set of 19 and created the S-score for predicting bankruptcy. The introduction of a short-term earning to current liabilities factor differentiates the S-score from Z-score in that it enables the measurement of immediate financial stress. The S-score has been employed as a point of reference in various studies and is thus chosen together with Altman’s model for comparison in this study.</w:t>
      </w:r>
    </w:p>
    <w:p w14:paraId="51DCEA5E" w14:textId="77777777" w:rsidR="001947F8" w:rsidRDefault="001947F8" w:rsidP="00EB344C">
      <w:pPr>
        <w:spacing w:after="200" w:line="276" w:lineRule="auto"/>
        <w:jc w:val="both"/>
      </w:pPr>
      <w:r>
        <w:t>However, limitations in MDA caused Ohlson (1980) to design a conditional logit model that provided predictions of bankruptcy for the sample of 105 bankrupt and 2058 non-bankrupt firms in the US. The model identified four predictors of failure probability: size, financial structure, performance, and liquidity of the firm. Although the error rates found in this study were greater than in the past studies, the reason for it was that the authors used financial statements for the study as opposed to information collected by estimation methods.</w:t>
      </w:r>
    </w:p>
    <w:p w14:paraId="69B58C87" w14:textId="32CF595B" w:rsidR="00EB344C" w:rsidRDefault="00EB344C" w:rsidP="00EB344C">
      <w:pPr>
        <w:spacing w:after="200" w:line="276" w:lineRule="auto"/>
        <w:jc w:val="both"/>
      </w:pPr>
      <w:r w:rsidRPr="00EB344C">
        <w:t xml:space="preserve">Liu et al. (2023) studied the role of model transparency using Shapley Additive </w:t>
      </w:r>
      <w:proofErr w:type="spellStart"/>
      <w:r w:rsidRPr="00EB344C">
        <w:t>exPlanations</w:t>
      </w:r>
      <w:proofErr w:type="spellEnd"/>
      <w:r w:rsidRPr="00EB344C">
        <w:t xml:space="preserve"> (SHAP) to interpret tree-based gradient boosting models using considerable data from Chinese stock-exchanges. Based on the results, it was observed that leverage, profitability, and liquidity </w:t>
      </w:r>
      <w:r w:rsidRPr="00EB344C">
        <w:lastRenderedPageBreak/>
        <w:t xml:space="preserve">ratios were marked as the highest SHAP ranked predictors and gradient boosting model exhibited more efficiency than logistic- regression </w:t>
      </w:r>
      <w:r w:rsidR="001550D0" w:rsidRPr="00EB344C">
        <w:t>approaches but</w:t>
      </w:r>
      <w:r w:rsidRPr="00EB344C">
        <w:t xml:space="preserve"> still maintained its explanatory level thanks to the definition of SHAP. It was suggested that adding SHAP-based interpretability for other emerging markets could be a topic for further research, which is in accordance with the 3rd Aim of the current research paper.</w:t>
      </w:r>
    </w:p>
    <w:p w14:paraId="0C69011A" w14:textId="6334FDCC" w:rsidR="00EB344C" w:rsidRDefault="00EB344C" w:rsidP="00EB344C">
      <w:pPr>
        <w:spacing w:after="200" w:line="276" w:lineRule="auto"/>
        <w:jc w:val="both"/>
      </w:pPr>
      <w:r w:rsidRPr="00EB344C">
        <w:t xml:space="preserve">The model for an explainable early warning system for Chinese A-share corporations was developed by Deng, Li, Zhu, Wang, Ning, Yi, and Shimada (2025). The team used the NSGA-II multi-objective genetic algorithm to optimize an </w:t>
      </w:r>
      <w:proofErr w:type="spellStart"/>
      <w:r w:rsidRPr="00EB344C">
        <w:t>XGBoost</w:t>
      </w:r>
      <w:proofErr w:type="spellEnd"/>
      <w:r w:rsidRPr="00EB344C">
        <w:t xml:space="preserve"> classifier and combined SHAP values along with Interpretative Structural </w:t>
      </w:r>
      <w:r w:rsidR="001550D0" w:rsidRPr="00EB344C">
        <w:t>Modelling</w:t>
      </w:r>
      <w:r w:rsidRPr="00EB344C">
        <w:t xml:space="preserve"> (ISM) to express a five-level risk-formation pathway through different warning windows. The authors achieved gains in accuracy (3.32%) and efficiency (2.15%) over previous models, while the influence of profitability indicators in the prediction intensified with the increase of the lead time for distress. The authors claim they dealt with the delayed function of China’s regulatory distress designation and take their findings as an example of how a rapidly growing government-influenced developing market has addressed the issue of explainability that the present paper aims to solve in the context of Indian manufacturing.</w:t>
      </w:r>
    </w:p>
    <w:p w14:paraId="2F22181F" w14:textId="37E77D68" w:rsidR="00EB344C" w:rsidRDefault="00EB344C" w:rsidP="00EB344C">
      <w:pPr>
        <w:pStyle w:val="Heading2"/>
        <w:spacing w:before="320" w:after="200" w:line="276" w:lineRule="auto"/>
        <w:jc w:val="both"/>
        <w:rPr>
          <w:color w:val="000000"/>
          <w:sz w:val="24"/>
          <w:szCs w:val="24"/>
        </w:rPr>
      </w:pPr>
      <w:r w:rsidRPr="00EB344C">
        <w:rPr>
          <w:color w:val="000000"/>
          <w:sz w:val="24"/>
          <w:szCs w:val="24"/>
        </w:rPr>
        <w:t xml:space="preserve">In conclusion, the impact of regime on distress predictors was examined by Tabatabaei and Mousavi (2026), who </w:t>
      </w:r>
      <w:r w:rsidR="001550D0" w:rsidRPr="00EB344C">
        <w:rPr>
          <w:color w:val="000000"/>
          <w:sz w:val="24"/>
          <w:szCs w:val="24"/>
        </w:rPr>
        <w:t>analysed</w:t>
      </w:r>
      <w:r w:rsidRPr="00EB344C">
        <w:rPr>
          <w:color w:val="000000"/>
          <w:sz w:val="24"/>
          <w:szCs w:val="24"/>
        </w:rPr>
        <w:t xml:space="preserve"> market volatility (represented by the CBOE VIX) as an independent variable affecting corporate leverage risk of S&amp;P 100 companies over the period of 2000-2025, extending Merton’s (1974) structural credit-risk theory and the concept of financial accelerator. Using random forest and </w:t>
      </w:r>
      <w:proofErr w:type="spellStart"/>
      <w:r w:rsidRPr="00EB344C">
        <w:rPr>
          <w:color w:val="000000"/>
          <w:sz w:val="24"/>
          <w:szCs w:val="24"/>
        </w:rPr>
        <w:t>XGBoost</w:t>
      </w:r>
      <w:proofErr w:type="spellEnd"/>
      <w:r w:rsidRPr="00EB344C">
        <w:rPr>
          <w:color w:val="000000"/>
          <w:sz w:val="24"/>
          <w:szCs w:val="24"/>
        </w:rPr>
        <w:t xml:space="preserve"> methods and further applying regime-specific SHAP analysis during the period of 2008 financial crisis, COVID-19 pandemic, and the inflation shock in 2022, they concluded that importance of features changed throughout the macroeconomic regimes with the change in the role of variables of volatility and equity index during the 2008 financial crisis compared to normal times. The dynamic explainability aspect had not been </w:t>
      </w:r>
      <w:r w:rsidR="001550D0" w:rsidRPr="00EB344C">
        <w:rPr>
          <w:color w:val="000000"/>
          <w:sz w:val="24"/>
          <w:szCs w:val="24"/>
        </w:rPr>
        <w:t>considered</w:t>
      </w:r>
      <w:r w:rsidRPr="00EB344C">
        <w:rPr>
          <w:color w:val="000000"/>
          <w:sz w:val="24"/>
          <w:szCs w:val="24"/>
        </w:rPr>
        <w:t xml:space="preserve"> already within the area of research focused on India and is considered as the most recent implication discussed in this chapter.</w:t>
      </w:r>
    </w:p>
    <w:p w14:paraId="7540035B" w14:textId="2460C2E9" w:rsidR="009F3736" w:rsidRDefault="009311BA" w:rsidP="00D02A07">
      <w:pPr>
        <w:pStyle w:val="Heading2"/>
        <w:spacing w:before="320" w:after="200"/>
        <w:jc w:val="both"/>
      </w:pPr>
      <w:r>
        <w:rPr>
          <w:b/>
          <w:bCs/>
          <w:color w:val="000000"/>
        </w:rPr>
        <w:t>2.2 Summary of Literature</w:t>
      </w:r>
    </w:p>
    <w:p w14:paraId="3D0FCE27" w14:textId="77777777" w:rsidR="001550D0" w:rsidRDefault="001550D0" w:rsidP="00D02A07">
      <w:pPr>
        <w:spacing w:after="200" w:line="360" w:lineRule="auto"/>
        <w:jc w:val="both"/>
      </w:pPr>
      <w:r w:rsidRPr="001550D0">
        <w:t xml:space="preserve">To summarize, the body of literature discussed above seems to revolve around four main themes. First, financial indicators including liquidity, profitability, leverage, solvency, and activity, as well as firm-specific variables like age and size, have been identified as important predictors of financial distress in many studies conducted since the inception of the use of ratios in financial analyses by Altman in the late 1960s. Second, a remarkable consistency may be observed across studies conducted nationally and internationally, whereby machine learning and ensemble techniques, SVM, ANN, random foresting, and gradient boosting perform better than traditional models for both discriminating and logistic purposes, which is particularly evident in the period just before financial distress occurs. </w:t>
      </w:r>
    </w:p>
    <w:p w14:paraId="28018B28" w14:textId="77777777" w:rsidR="001550D0" w:rsidRDefault="001550D0" w:rsidP="00D02A07">
      <w:pPr>
        <w:pStyle w:val="Heading2"/>
        <w:spacing w:before="320" w:after="200"/>
        <w:jc w:val="both"/>
        <w:rPr>
          <w:color w:val="000000"/>
          <w:sz w:val="24"/>
          <w:szCs w:val="24"/>
        </w:rPr>
      </w:pPr>
      <w:r w:rsidRPr="001550D0">
        <w:rPr>
          <w:color w:val="000000"/>
          <w:sz w:val="24"/>
          <w:szCs w:val="24"/>
        </w:rPr>
        <w:lastRenderedPageBreak/>
        <w:t xml:space="preserve">In addition, the suggestion to improve the interpretability of machine learning predictions using approaches based on SHAP is being more and more discussed, with leverage ratio, profitability ratio and liquidity ratio being named among the key predictor categories (Liu et al., 2023; Tran et al., 2022; Deng et al., 2025), but this area of explainable AI still remains hardly used in India. Furthermore, the role of macroeconomic variables in Indian distress models is still unclear and under debate, Sethi and Mahadik (2025) found that macroeconomic indicators do not appear to be meaningful in the context of firms producing services in India, while Mahesh et al. (2025) have discovered that Economic Policy Uncertainty significantly impacts Indian small businesses. Thus, it can be concluded that the relationships between the economic measures and participation of various sectors in distress models are still inconsistent. Furthermore, it is important to note that the </w:t>
      </w:r>
      <w:proofErr w:type="gramStart"/>
      <w:r w:rsidRPr="001550D0">
        <w:rPr>
          <w:color w:val="000000"/>
          <w:sz w:val="24"/>
          <w:szCs w:val="24"/>
        </w:rPr>
        <w:t>researches</w:t>
      </w:r>
      <w:proofErr w:type="gramEnd"/>
      <w:r w:rsidRPr="001550D0">
        <w:rPr>
          <w:color w:val="000000"/>
          <w:sz w:val="24"/>
          <w:szCs w:val="24"/>
        </w:rPr>
        <w:t xml:space="preserve"> conducted in India mainly cover the areas of services and banking and do not pay much attention to manufacturing despite its considerable share in the general volume of bankruptcy cases.</w:t>
      </w:r>
    </w:p>
    <w:p w14:paraId="7ECD4492" w14:textId="7DA11723" w:rsidR="009F3736" w:rsidRDefault="009311BA" w:rsidP="00D02A07">
      <w:pPr>
        <w:pStyle w:val="Heading2"/>
        <w:spacing w:before="320" w:after="200"/>
        <w:jc w:val="both"/>
      </w:pPr>
      <w:r>
        <w:rPr>
          <w:b/>
          <w:bCs/>
          <w:color w:val="000000"/>
        </w:rPr>
        <w:t>2.3 Identification of Research Gap</w:t>
      </w:r>
    </w:p>
    <w:p w14:paraId="23CCA3EE" w14:textId="6997D28D" w:rsidR="009F3736" w:rsidRDefault="009311BA" w:rsidP="00D02A07">
      <w:pPr>
        <w:spacing w:after="200" w:line="360" w:lineRule="auto"/>
        <w:jc w:val="both"/>
      </w:pPr>
      <w:r>
        <w:t>Based on the literature synthesised above, three principal research gaps have been identified.</w:t>
      </w:r>
    </w:p>
    <w:p w14:paraId="1CBC713B" w14:textId="27055E9A" w:rsidR="001550D0" w:rsidRDefault="001550D0" w:rsidP="001550D0">
      <w:pPr>
        <w:pStyle w:val="ListParagraph"/>
        <w:numPr>
          <w:ilvl w:val="0"/>
          <w:numId w:val="1"/>
        </w:numPr>
        <w:spacing w:after="160" w:line="276" w:lineRule="auto"/>
        <w:jc w:val="both"/>
      </w:pPr>
      <w:r w:rsidRPr="001550D0">
        <w:t xml:space="preserve">A lack of financial-distress prediction models has been </w:t>
      </w:r>
      <w:proofErr w:type="gramStart"/>
      <w:r w:rsidRPr="001550D0">
        <w:t>identified,</w:t>
      </w:r>
      <w:proofErr w:type="gramEnd"/>
      <w:r w:rsidRPr="001550D0">
        <w:t xml:space="preserve"> that were developed and verified specifically for the manufacturing sector in India, which sector represents by far the largest share of around 37% of all insolvency cases referred to the IBC. Existing research in India (Sehgal et al., 2021; Mishra, Ashok and Tandon, 2021; Gupta, 2023; Sethi and Mahadik, 2025) has focused on cross-industry, banking or service data, while the only research in India relating to manufacturing – Singh and Singla (2023) has not considered machine learning or explainable AI solutions.</w:t>
      </w:r>
    </w:p>
    <w:p w14:paraId="634E7A8A" w14:textId="624492A8" w:rsidR="001550D0" w:rsidRDefault="001550D0" w:rsidP="00D02A07">
      <w:pPr>
        <w:pStyle w:val="ListParagraph"/>
        <w:numPr>
          <w:ilvl w:val="0"/>
          <w:numId w:val="1"/>
        </w:numPr>
        <w:spacing w:after="160" w:line="360" w:lineRule="auto"/>
        <w:jc w:val="both"/>
      </w:pPr>
      <w:r>
        <w:t>T</w:t>
      </w:r>
      <w:r w:rsidRPr="001550D0">
        <w:t xml:space="preserve">he application of explainable artificial intelligence (XAI) methods like SHAP is limited in the context of Indian financial distress literature. Although application of these methods has been successful in case of China (Liu et al., 2023; Deng et al., 2025), Vietnam (Tran et al., 2022) and United States (Tabatabaei and Mousavi, 2026) data, no such application in India has been found. Due to this, stakeholders in India </w:t>
      </w:r>
      <w:proofErr w:type="gramStart"/>
      <w:r w:rsidRPr="001550D0">
        <w:t>still remain</w:t>
      </w:r>
      <w:proofErr w:type="gramEnd"/>
      <w:r w:rsidRPr="001550D0">
        <w:t xml:space="preserve"> in the dark about which types of financial indicators have contributed to distress prediction on Indian firms.</w:t>
      </w:r>
    </w:p>
    <w:p w14:paraId="20DC0C93" w14:textId="77777777" w:rsidR="001550D0" w:rsidRPr="001550D0" w:rsidRDefault="001550D0" w:rsidP="001550D0">
      <w:pPr>
        <w:pStyle w:val="Heading2"/>
        <w:spacing w:before="320" w:after="200"/>
        <w:jc w:val="both"/>
        <w:rPr>
          <w:color w:val="000000"/>
          <w:sz w:val="24"/>
          <w:szCs w:val="24"/>
        </w:rPr>
      </w:pPr>
      <w:r w:rsidRPr="001550D0">
        <w:rPr>
          <w:color w:val="000000"/>
          <w:sz w:val="24"/>
          <w:szCs w:val="24"/>
        </w:rPr>
        <w:t>There have been widespread inconsistencies in the evidence concerning the reliability of distress predictive models across different businesses and economic environments. This can be identified at the international level, where the value of predictor variables has been shown to change considerably depending on the macro-economic environment (Tabatabaei and Mousavi, 2026); and in India, where the value of the same macroeconomic indicators has differed between various industries (Sethi and Mahadik, 2025, versus Mahesh et al., 2025). The observed inconsistency suggests that the previously developed models may not be applicable across different periods: pre-IBC, post-IBC, and COVID-19.</w:t>
      </w:r>
    </w:p>
    <w:p w14:paraId="4E5746D0" w14:textId="77777777" w:rsidR="001550D0" w:rsidRDefault="001550D0" w:rsidP="001550D0">
      <w:pPr>
        <w:pStyle w:val="Heading2"/>
        <w:spacing w:before="320" w:after="200"/>
        <w:jc w:val="both"/>
        <w:rPr>
          <w:color w:val="000000"/>
          <w:sz w:val="24"/>
          <w:szCs w:val="24"/>
        </w:rPr>
      </w:pPr>
      <w:r w:rsidRPr="001550D0">
        <w:rPr>
          <w:color w:val="000000"/>
          <w:sz w:val="24"/>
          <w:szCs w:val="24"/>
        </w:rPr>
        <w:t xml:space="preserve">These gaps in the existing literature call for a detailed sector-specific investigation of distress among Indian manufacturing firms, which involves the development of a model that accounts </w:t>
      </w:r>
      <w:r w:rsidRPr="001550D0">
        <w:rPr>
          <w:color w:val="000000"/>
          <w:sz w:val="24"/>
          <w:szCs w:val="24"/>
        </w:rPr>
        <w:lastRenderedPageBreak/>
        <w:t>for both firm-level financial indicators and macroeconomic parameters. One of the key components required to achieve this goal is the use of SHAP approaches to ensure that the predictions made by the model concerning Indian companies can be interpreted by the stakeholders.</w:t>
      </w:r>
    </w:p>
    <w:p w14:paraId="3EFB6C16" w14:textId="2C658976" w:rsidR="009F3736" w:rsidRDefault="009311BA" w:rsidP="001550D0">
      <w:pPr>
        <w:pStyle w:val="Heading2"/>
        <w:spacing w:before="320" w:after="200"/>
        <w:jc w:val="both"/>
      </w:pPr>
      <w:r>
        <w:rPr>
          <w:b/>
          <w:bCs/>
          <w:color w:val="000000"/>
        </w:rPr>
        <w:t>2.4 Research Questions</w:t>
      </w:r>
    </w:p>
    <w:p w14:paraId="4E6E66C7" w14:textId="4340D11E" w:rsidR="009F3736" w:rsidRDefault="009311BA" w:rsidP="00376318">
      <w:pPr>
        <w:spacing w:after="200" w:line="276" w:lineRule="auto"/>
        <w:jc w:val="both"/>
      </w:pPr>
      <w:r>
        <w:t>Considering the research gaps identified in Section 2.3, the following research questions have been formulated to guide the present study.</w:t>
      </w:r>
    </w:p>
    <w:p w14:paraId="50F75CFB" w14:textId="77777777" w:rsidR="00376318" w:rsidRDefault="00376318" w:rsidP="00376318">
      <w:pPr>
        <w:spacing w:after="150" w:line="276" w:lineRule="auto"/>
        <w:ind w:left="360"/>
        <w:jc w:val="both"/>
      </w:pPr>
      <w:r>
        <w:t>RQ1: Which financial ratios and firm-specific characteristics have been most strongly associated with financial distress among Indian manufacturing companies?</w:t>
      </w:r>
    </w:p>
    <w:p w14:paraId="3CB6F41B" w14:textId="77777777" w:rsidR="00376318" w:rsidRDefault="00376318" w:rsidP="00376318">
      <w:pPr>
        <w:spacing w:after="150" w:line="276" w:lineRule="auto"/>
        <w:ind w:left="360"/>
        <w:jc w:val="both"/>
      </w:pPr>
      <w:r>
        <w:t>RQ2: To what extent do machine learning models outperform traditional distress-prediction models, such as the Altman Z-score and Springate S-score, when applied to Indian manufacturing data?</w:t>
      </w:r>
    </w:p>
    <w:p w14:paraId="51BF915D" w14:textId="77777777" w:rsidR="00376318" w:rsidRDefault="00376318" w:rsidP="00376318">
      <w:pPr>
        <w:spacing w:after="150" w:line="276" w:lineRule="auto"/>
        <w:ind w:left="360"/>
        <w:jc w:val="both"/>
      </w:pPr>
      <w:r>
        <w:t>RQ3: Which categories of financial indicators have contributed most significantly to model predictions, as determined through explainable artificial intelligence techniques?</w:t>
      </w:r>
    </w:p>
    <w:p w14:paraId="3D3889A8" w14:textId="77777777" w:rsidR="00376318" w:rsidRDefault="00376318" w:rsidP="00376318">
      <w:pPr>
        <w:spacing w:after="150" w:line="276" w:lineRule="auto"/>
        <w:ind w:left="360"/>
        <w:jc w:val="both"/>
      </w:pPr>
      <w:r>
        <w:t>RQ4: How robust and generalisable are the developed distress-prediction models across different manufacturing sub-industries and across the pre-IBC, post-IBC, and COVID-19 economic periods?</w:t>
      </w:r>
    </w:p>
    <w:p w14:paraId="646946E4" w14:textId="457FC00C" w:rsidR="009F3736" w:rsidRDefault="009F3736" w:rsidP="00376318">
      <w:pPr>
        <w:pStyle w:val="ListParagraph"/>
        <w:spacing w:after="160" w:line="276" w:lineRule="auto"/>
        <w:ind w:left="720"/>
        <w:jc w:val="both"/>
      </w:pPr>
    </w:p>
    <w:sectPr w:rsidR="009F373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563322"/>
    <w:multiLevelType w:val="hybridMultilevel"/>
    <w:tmpl w:val="ADD409AA"/>
    <w:lvl w:ilvl="0" w:tplc="377CDAA4">
      <w:start w:val="1"/>
      <w:numFmt w:val="bullet"/>
      <w:lvlText w:val="●"/>
      <w:lvlJc w:val="left"/>
      <w:pPr>
        <w:ind w:left="720" w:hanging="360"/>
      </w:pPr>
    </w:lvl>
    <w:lvl w:ilvl="1" w:tplc="511E8434">
      <w:start w:val="1"/>
      <w:numFmt w:val="bullet"/>
      <w:lvlText w:val="○"/>
      <w:lvlJc w:val="left"/>
      <w:pPr>
        <w:ind w:left="1440" w:hanging="360"/>
      </w:pPr>
    </w:lvl>
    <w:lvl w:ilvl="2" w:tplc="3B825B0C">
      <w:start w:val="1"/>
      <w:numFmt w:val="bullet"/>
      <w:lvlText w:val="■"/>
      <w:lvlJc w:val="left"/>
      <w:pPr>
        <w:ind w:left="2160" w:hanging="360"/>
      </w:pPr>
    </w:lvl>
    <w:lvl w:ilvl="3" w:tplc="3E349C20">
      <w:start w:val="1"/>
      <w:numFmt w:val="bullet"/>
      <w:lvlText w:val="●"/>
      <w:lvlJc w:val="left"/>
      <w:pPr>
        <w:ind w:left="2880" w:hanging="360"/>
      </w:pPr>
    </w:lvl>
    <w:lvl w:ilvl="4" w:tplc="0CA45856">
      <w:start w:val="1"/>
      <w:numFmt w:val="bullet"/>
      <w:lvlText w:val="○"/>
      <w:lvlJc w:val="left"/>
      <w:pPr>
        <w:ind w:left="3600" w:hanging="360"/>
      </w:pPr>
    </w:lvl>
    <w:lvl w:ilvl="5" w:tplc="5C9C67BC">
      <w:start w:val="1"/>
      <w:numFmt w:val="bullet"/>
      <w:lvlText w:val="■"/>
      <w:lvlJc w:val="left"/>
      <w:pPr>
        <w:ind w:left="4320" w:hanging="360"/>
      </w:pPr>
    </w:lvl>
    <w:lvl w:ilvl="6" w:tplc="F20C4C6C">
      <w:start w:val="1"/>
      <w:numFmt w:val="bullet"/>
      <w:lvlText w:val="●"/>
      <w:lvlJc w:val="left"/>
      <w:pPr>
        <w:ind w:left="5040" w:hanging="360"/>
      </w:pPr>
    </w:lvl>
    <w:lvl w:ilvl="7" w:tplc="4912AEC4">
      <w:start w:val="1"/>
      <w:numFmt w:val="bullet"/>
      <w:lvlText w:val="●"/>
      <w:lvlJc w:val="left"/>
      <w:pPr>
        <w:ind w:left="5760" w:hanging="360"/>
      </w:pPr>
    </w:lvl>
    <w:lvl w:ilvl="8" w:tplc="095A2D1E">
      <w:start w:val="1"/>
      <w:numFmt w:val="bullet"/>
      <w:lvlText w:val="●"/>
      <w:lvlJc w:val="left"/>
      <w:pPr>
        <w:ind w:left="6480" w:hanging="360"/>
      </w:pPr>
    </w:lvl>
  </w:abstractNum>
  <w:num w:numId="1" w16cid:durableId="15317238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3736"/>
    <w:rsid w:val="001550D0"/>
    <w:rsid w:val="001947F8"/>
    <w:rsid w:val="00376318"/>
    <w:rsid w:val="003D38D5"/>
    <w:rsid w:val="006641FA"/>
    <w:rsid w:val="006F3F3C"/>
    <w:rsid w:val="0086278E"/>
    <w:rsid w:val="00901AAE"/>
    <w:rsid w:val="00921EE2"/>
    <w:rsid w:val="009311BA"/>
    <w:rsid w:val="009F3736"/>
    <w:rsid w:val="00BC4193"/>
    <w:rsid w:val="00C83611"/>
    <w:rsid w:val="00D02A07"/>
    <w:rsid w:val="00D86917"/>
    <w:rsid w:val="00EB344C"/>
    <w:rsid w:val="00F91995"/>
    <w:rsid w:val="00FD37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B324E"/>
  <w15:docId w15:val="{676E85E4-82F0-4B1B-A77E-1758E0AD3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211</TotalTime>
  <Pages>11</Pages>
  <Words>4744</Words>
  <Characters>27044</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Rohit Venkatesh Alur</cp:lastModifiedBy>
  <cp:revision>10</cp:revision>
  <dcterms:created xsi:type="dcterms:W3CDTF">2026-08-28T05:43:00Z</dcterms:created>
  <dcterms:modified xsi:type="dcterms:W3CDTF">2026-09-02T04:57:00Z</dcterms:modified>
</cp:coreProperties>
</file>