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2128" w14:textId="77777777" w:rsidR="00BF3C9F" w:rsidRPr="004D13C7" w:rsidRDefault="00000000" w:rsidP="005E27C2">
      <w:pPr>
        <w:spacing w:after="300" w:line="276" w:lineRule="auto"/>
        <w:jc w:val="center"/>
      </w:pPr>
      <w:r w:rsidRPr="004D13C7">
        <w:rPr>
          <w:b/>
          <w:bCs/>
          <w:sz w:val="32"/>
          <w:szCs w:val="32"/>
        </w:rPr>
        <w:t>3. Problem Statement</w:t>
      </w:r>
    </w:p>
    <w:p w14:paraId="0070BF7F" w14:textId="04925FEF" w:rsidR="00BF3C9F" w:rsidRPr="004D13C7" w:rsidRDefault="005E27C2" w:rsidP="005E27C2">
      <w:pPr>
        <w:pStyle w:val="Heading2"/>
        <w:spacing w:before="320" w:after="200" w:line="276" w:lineRule="auto"/>
        <w:rPr>
          <w:color w:val="auto"/>
        </w:rPr>
      </w:pPr>
      <w:r w:rsidRPr="004D13C7">
        <w:rPr>
          <w:b/>
          <w:bCs/>
          <w:color w:val="auto"/>
        </w:rPr>
        <w:t>3.1 Problem</w:t>
      </w:r>
      <w:r w:rsidR="00000000" w:rsidRPr="004D13C7">
        <w:rPr>
          <w:b/>
          <w:bCs/>
          <w:color w:val="auto"/>
        </w:rPr>
        <w:t xml:space="preserve"> Statement</w:t>
      </w:r>
    </w:p>
    <w:p w14:paraId="006F14F3" w14:textId="77777777" w:rsidR="00BF3C9F" w:rsidRPr="004D13C7" w:rsidRDefault="00000000" w:rsidP="005E27C2">
      <w:pPr>
        <w:spacing w:before="240" w:after="120" w:line="276" w:lineRule="auto"/>
      </w:pPr>
      <w:r w:rsidRPr="004D13C7">
        <w:rPr>
          <w:b/>
          <w:bCs/>
        </w:rPr>
        <w:t>Title</w:t>
      </w:r>
    </w:p>
    <w:p w14:paraId="40836F64" w14:textId="77777777" w:rsidR="00BF3C9F" w:rsidRPr="004D13C7" w:rsidRDefault="00000000" w:rsidP="005E27C2">
      <w:pPr>
        <w:spacing w:after="200" w:line="276" w:lineRule="auto"/>
        <w:jc w:val="both"/>
      </w:pPr>
      <w:r w:rsidRPr="004D13C7">
        <w:t>An Explainable Machine Learning Framework for Financial Distress Prediction in Indian Manufacturing Companies</w:t>
      </w:r>
    </w:p>
    <w:p w14:paraId="0D552EC0" w14:textId="77777777" w:rsidR="00BF3C9F" w:rsidRPr="004D13C7" w:rsidRDefault="00000000" w:rsidP="005E27C2">
      <w:pPr>
        <w:spacing w:before="240" w:after="120" w:line="276" w:lineRule="auto"/>
      </w:pPr>
      <w:r w:rsidRPr="004D13C7">
        <w:rPr>
          <w:b/>
          <w:bCs/>
        </w:rPr>
        <w:t>Aim</w:t>
      </w:r>
    </w:p>
    <w:p w14:paraId="5CE95766" w14:textId="77777777" w:rsidR="00615ED3" w:rsidRPr="004D13C7" w:rsidRDefault="00615ED3" w:rsidP="005E27C2">
      <w:pPr>
        <w:spacing w:before="240" w:after="120" w:line="276" w:lineRule="auto"/>
        <w:jc w:val="both"/>
      </w:pPr>
      <w:r w:rsidRPr="004D13C7">
        <w:t>The aim of this dissertation was to develop and validate an explainable machine learning framework that combined firm-level financial and macroeconomic information for the early prediction of financial distress among Indian manufacturing companies, and to examine whether it provided a more accurate, interpretable, and robust early-warning approach than the traditional Altman Z-score and Springate S-score models.</w:t>
      </w:r>
    </w:p>
    <w:p w14:paraId="4F386721" w14:textId="132B5C37" w:rsidR="00BF3C9F" w:rsidRPr="004D13C7" w:rsidRDefault="00000000" w:rsidP="005E27C2">
      <w:pPr>
        <w:spacing w:before="240" w:after="120" w:line="276" w:lineRule="auto"/>
      </w:pPr>
      <w:r w:rsidRPr="004D13C7">
        <w:rPr>
          <w:b/>
          <w:bCs/>
        </w:rPr>
        <w:t xml:space="preserve">Objectives </w:t>
      </w:r>
    </w:p>
    <w:p w14:paraId="41D9310F" w14:textId="77777777" w:rsidR="00BF3C9F" w:rsidRPr="004D13C7" w:rsidRDefault="00000000" w:rsidP="005E27C2">
      <w:pPr>
        <w:pStyle w:val="ListParagraph"/>
        <w:numPr>
          <w:ilvl w:val="0"/>
          <w:numId w:val="1"/>
        </w:numPr>
        <w:spacing w:after="120" w:line="276" w:lineRule="auto"/>
        <w:jc w:val="both"/>
      </w:pPr>
      <w:r w:rsidRPr="004D13C7">
        <w:t>Objective 1: To identify the firm-level financial ratios, firm characteristics, and macroeconomic indicators significantly associated with financial distress among Indian manufacturing companies.</w:t>
      </w:r>
    </w:p>
    <w:p w14:paraId="443BDEA5" w14:textId="77777777" w:rsidR="00BF3C9F" w:rsidRPr="004D13C7" w:rsidRDefault="00000000" w:rsidP="005E27C2">
      <w:pPr>
        <w:pStyle w:val="ListParagraph"/>
        <w:numPr>
          <w:ilvl w:val="0"/>
          <w:numId w:val="1"/>
        </w:numPr>
        <w:spacing w:after="120" w:line="276" w:lineRule="auto"/>
        <w:jc w:val="both"/>
      </w:pPr>
      <w:r w:rsidRPr="004D13C7">
        <w:t>Objective 2: To develop machine learning models for one-year-ahead financial distress prediction and to benchmark their predictive accuracy against the traditional Altman Z″-score and Springate S-score models.</w:t>
      </w:r>
    </w:p>
    <w:p w14:paraId="47D943BF" w14:textId="77777777" w:rsidR="00BF3C9F" w:rsidRPr="004D13C7" w:rsidRDefault="00000000" w:rsidP="005E27C2">
      <w:pPr>
        <w:pStyle w:val="ListParagraph"/>
        <w:numPr>
          <w:ilvl w:val="0"/>
          <w:numId w:val="1"/>
        </w:numPr>
        <w:spacing w:after="120" w:line="276" w:lineRule="auto"/>
        <w:jc w:val="both"/>
      </w:pPr>
      <w:r w:rsidRPr="004D13C7">
        <w:t>Objective 3: To determine, through explainable artificial intelligence (SHAP) techniques, which individual indicators and categories of indicators contribute most significantly to the machine learning model's predictions.</w:t>
      </w:r>
    </w:p>
    <w:p w14:paraId="7508CE20" w14:textId="77777777" w:rsidR="00BF3C9F" w:rsidRPr="004D13C7" w:rsidRDefault="00000000" w:rsidP="005E27C2">
      <w:pPr>
        <w:pStyle w:val="ListParagraph"/>
        <w:numPr>
          <w:ilvl w:val="0"/>
          <w:numId w:val="1"/>
        </w:numPr>
        <w:spacing w:after="120" w:line="276" w:lineRule="auto"/>
        <w:jc w:val="both"/>
      </w:pPr>
      <w:r w:rsidRPr="004D13C7">
        <w:t>Objective 4: To evaluate the robustness and generalisability of the developed model across manufacturing sub-sectors, the pre-/post-IBC regulatory regimes, and the COVID-19 period.</w:t>
      </w:r>
    </w:p>
    <w:p w14:paraId="6DD8965C" w14:textId="2B86F2D7" w:rsidR="00BF3C9F" w:rsidRPr="004D13C7" w:rsidRDefault="006C6F7B" w:rsidP="005E27C2">
      <w:pPr>
        <w:pStyle w:val="Heading2"/>
        <w:spacing w:before="320" w:after="200" w:line="276" w:lineRule="auto"/>
        <w:rPr>
          <w:color w:val="auto"/>
        </w:rPr>
      </w:pPr>
      <w:r w:rsidRPr="004D13C7">
        <w:rPr>
          <w:b/>
          <w:bCs/>
          <w:color w:val="auto"/>
        </w:rPr>
        <w:t>3.2 Scope</w:t>
      </w:r>
      <w:r w:rsidR="00000000" w:rsidRPr="004D13C7">
        <w:rPr>
          <w:b/>
          <w:bCs/>
          <w:color w:val="auto"/>
        </w:rPr>
        <w:t xml:space="preserve"> of the Study</w:t>
      </w:r>
    </w:p>
    <w:p w14:paraId="2D90E464" w14:textId="77777777" w:rsidR="006C6F7B" w:rsidRPr="004D13C7" w:rsidRDefault="006C6F7B" w:rsidP="005E27C2">
      <w:pPr>
        <w:pStyle w:val="Heading2"/>
        <w:spacing w:before="320" w:after="200" w:line="276" w:lineRule="auto"/>
        <w:jc w:val="both"/>
        <w:rPr>
          <w:color w:val="auto"/>
          <w:sz w:val="24"/>
          <w:szCs w:val="24"/>
        </w:rPr>
      </w:pPr>
      <w:r w:rsidRPr="004D13C7">
        <w:rPr>
          <w:color w:val="auto"/>
          <w:sz w:val="24"/>
          <w:szCs w:val="24"/>
        </w:rPr>
        <w:t xml:space="preserve">This study was limited to listed Indian manufacturing companies with continuous financial data available in the CMIE </w:t>
      </w:r>
      <w:proofErr w:type="spellStart"/>
      <w:r w:rsidRPr="004D13C7">
        <w:rPr>
          <w:color w:val="auto"/>
          <w:sz w:val="24"/>
          <w:szCs w:val="24"/>
        </w:rPr>
        <w:t>ProwessIQ</w:t>
      </w:r>
      <w:proofErr w:type="spellEnd"/>
      <w:r w:rsidRPr="004D13C7">
        <w:rPr>
          <w:color w:val="auto"/>
          <w:sz w:val="24"/>
          <w:szCs w:val="24"/>
        </w:rPr>
        <w:t xml:space="preserve"> database from financial years 2014 to 2025. The final dataset included 36,984 firm-year observations from 3,082 companies across ten Manufacturing Sector Groups. Financial distress was measured using a composite accounting-based indicator, where a firm-year was classified as distressed if the company had negative net worth or an interest coverage ratio below one along with a reported loss, rather than using legal insolvency events such as the initiation of Corporate Insolvency Resolution Process proceedings under the IBC. The analysis also included four macroeconomic variables: GDP growth, WPI inflation, the Economic Policy Uncertainty Index, and the industry Weighted Average Lending Rate, along with firm-level financial ratios calculated from balance-sheet and profit-and-loss data.</w:t>
      </w:r>
    </w:p>
    <w:p w14:paraId="2A969BEF" w14:textId="77777777" w:rsidR="006C6F7B" w:rsidRPr="004D13C7" w:rsidRDefault="006C6F7B" w:rsidP="005E27C2">
      <w:pPr>
        <w:pStyle w:val="Heading2"/>
        <w:spacing w:before="320" w:after="200" w:line="276" w:lineRule="auto"/>
        <w:jc w:val="both"/>
        <w:rPr>
          <w:color w:val="auto"/>
          <w:sz w:val="24"/>
          <w:szCs w:val="24"/>
        </w:rPr>
      </w:pPr>
      <w:r w:rsidRPr="004D13C7">
        <w:rPr>
          <w:color w:val="auto"/>
          <w:sz w:val="24"/>
          <w:szCs w:val="24"/>
        </w:rPr>
        <w:lastRenderedPageBreak/>
        <w:t xml:space="preserve">The predictive analysis focused on a one-year-ahead forecasting period, with financial years from 2022 onward used as the chronologically held-out test period. Three machine learning models, Logistic Regression, Random Forest, and </w:t>
      </w:r>
      <w:proofErr w:type="spellStart"/>
      <w:r w:rsidRPr="004D13C7">
        <w:rPr>
          <w:color w:val="auto"/>
          <w:sz w:val="24"/>
          <w:szCs w:val="24"/>
        </w:rPr>
        <w:t>XGBoost</w:t>
      </w:r>
      <w:proofErr w:type="spellEnd"/>
      <w:r w:rsidRPr="004D13C7">
        <w:rPr>
          <w:color w:val="auto"/>
          <w:sz w:val="24"/>
          <w:szCs w:val="24"/>
        </w:rPr>
        <w:t xml:space="preserve">, were compared with the Altman Z″-score and Springate S-score. SHAP analysis was used to explain the predictions of the best-performing machine learning model. The robustness analysis was limited to three areas: differences across the ten Manufacturing Sector Groups, the period before and after the introduction of the IBC in December 2016, and the COVID-19 period covering financial years 2020 and 2021 compared with all other years. The study did not cover non-manufacturing sectors, unlisted companies without continuous </w:t>
      </w:r>
      <w:proofErr w:type="spellStart"/>
      <w:r w:rsidRPr="004D13C7">
        <w:rPr>
          <w:color w:val="auto"/>
          <w:sz w:val="24"/>
          <w:szCs w:val="24"/>
        </w:rPr>
        <w:t>ProwessIQ</w:t>
      </w:r>
      <w:proofErr w:type="spellEnd"/>
      <w:r w:rsidRPr="004D13C7">
        <w:rPr>
          <w:color w:val="auto"/>
          <w:sz w:val="24"/>
          <w:szCs w:val="24"/>
        </w:rPr>
        <w:t xml:space="preserve"> data, firms outside India, prediction periods beyond one year, or deep learning models such as Artificial Neural Networks. These areas were instead identified as possible directions for future research.</w:t>
      </w:r>
    </w:p>
    <w:p w14:paraId="6F85C95E" w14:textId="4932578C" w:rsidR="00BF3C9F" w:rsidRPr="004D13C7" w:rsidRDefault="00AF6C74" w:rsidP="005E27C2">
      <w:pPr>
        <w:pStyle w:val="Heading2"/>
        <w:spacing w:before="320" w:after="200" w:line="276" w:lineRule="auto"/>
        <w:rPr>
          <w:color w:val="auto"/>
        </w:rPr>
      </w:pPr>
      <w:r w:rsidRPr="004D13C7">
        <w:rPr>
          <w:b/>
          <w:bCs/>
          <w:color w:val="auto"/>
        </w:rPr>
        <w:t>3.3 Methods</w:t>
      </w:r>
      <w:r w:rsidR="00000000" w:rsidRPr="004D13C7">
        <w:rPr>
          <w:b/>
          <w:bCs/>
          <w:color w:val="auto"/>
        </w:rPr>
        <w:t xml:space="preserve"> and Methodology</w:t>
      </w:r>
    </w:p>
    <w:p w14:paraId="7A8B0BC3" w14:textId="77777777" w:rsidR="00BF3C9F" w:rsidRPr="004D13C7" w:rsidRDefault="00000000" w:rsidP="005E27C2">
      <w:pPr>
        <w:spacing w:after="200" w:line="276" w:lineRule="auto"/>
        <w:jc w:val="both"/>
      </w:pPr>
      <w:r w:rsidRPr="004D13C7">
        <w:t>The methods and methodology adopted to address each of the four objectives are summarised in Table 3.1 below.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2465"/>
        <w:gridCol w:w="2892"/>
        <w:gridCol w:w="2521"/>
      </w:tblGrid>
      <w:tr w:rsidR="00BF3C9F" w:rsidRPr="004D13C7" w14:paraId="203D2A6F" w14:textId="77777777" w:rsidTr="00AF6C74">
        <w:tblPrEx>
          <w:tblCellMar>
            <w:top w:w="0" w:type="dxa"/>
            <w:bottom w:w="0" w:type="dxa"/>
          </w:tblCellMar>
        </w:tblPrEx>
        <w:trPr>
          <w:tblHeader/>
        </w:trPr>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4F3858" w14:textId="77777777" w:rsidR="00BF3C9F" w:rsidRPr="004D13C7" w:rsidRDefault="00000000" w:rsidP="005E27C2">
            <w:pPr>
              <w:spacing w:line="276" w:lineRule="auto"/>
              <w:jc w:val="center"/>
            </w:pPr>
            <w:r w:rsidRPr="004D13C7">
              <w:rPr>
                <w:b/>
                <w:bCs/>
                <w:sz w:val="20"/>
                <w:szCs w:val="20"/>
              </w:rPr>
              <w:t>Objective No.</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314F3A" w14:textId="77777777" w:rsidR="00BF3C9F" w:rsidRPr="004D13C7" w:rsidRDefault="00000000" w:rsidP="005E27C2">
            <w:pPr>
              <w:spacing w:line="276" w:lineRule="auto"/>
              <w:jc w:val="center"/>
            </w:pPr>
            <w:r w:rsidRPr="004D13C7">
              <w:rPr>
                <w:b/>
                <w:bCs/>
                <w:sz w:val="20"/>
                <w:szCs w:val="20"/>
              </w:rPr>
              <w:t>Statement of the Objective</w:t>
            </w:r>
          </w:p>
        </w:tc>
        <w:tc>
          <w:tcPr>
            <w:tcW w:w="3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B933F1" w14:textId="77777777" w:rsidR="00BF3C9F" w:rsidRPr="004D13C7" w:rsidRDefault="00000000" w:rsidP="005E27C2">
            <w:pPr>
              <w:spacing w:line="276" w:lineRule="auto"/>
              <w:jc w:val="center"/>
            </w:pPr>
            <w:r w:rsidRPr="004D13C7">
              <w:rPr>
                <w:b/>
                <w:bCs/>
                <w:sz w:val="20"/>
                <w:szCs w:val="20"/>
              </w:rPr>
              <w:t>Method/Methodology</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0A9684" w14:textId="77777777" w:rsidR="00BF3C9F" w:rsidRPr="004D13C7" w:rsidRDefault="00000000" w:rsidP="005E27C2">
            <w:pPr>
              <w:spacing w:line="276" w:lineRule="auto"/>
              <w:jc w:val="center"/>
            </w:pPr>
            <w:r w:rsidRPr="004D13C7">
              <w:rPr>
                <w:b/>
                <w:bCs/>
                <w:sz w:val="20"/>
                <w:szCs w:val="20"/>
              </w:rPr>
              <w:t>Resources Utilised</w:t>
            </w:r>
          </w:p>
        </w:tc>
      </w:tr>
      <w:tr w:rsidR="00BF3C9F" w:rsidRPr="004D13C7" w14:paraId="5FBC67BE" w14:textId="77777777" w:rsidTr="00AF6C74">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91AE0D" w14:textId="77777777" w:rsidR="00BF3C9F" w:rsidRPr="004D13C7" w:rsidRDefault="00000000" w:rsidP="005E27C2">
            <w:pPr>
              <w:spacing w:line="276" w:lineRule="auto"/>
              <w:jc w:val="center"/>
            </w:pPr>
            <w:r w:rsidRPr="004D13C7">
              <w:rPr>
                <w:sz w:val="19"/>
                <w:szCs w:val="19"/>
              </w:rPr>
              <w:t>1</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0CF1EBD" w14:textId="77777777" w:rsidR="00BF3C9F" w:rsidRPr="004D13C7" w:rsidRDefault="00000000" w:rsidP="005E27C2">
            <w:pPr>
              <w:spacing w:line="276" w:lineRule="auto"/>
            </w:pPr>
            <w:r w:rsidRPr="004D13C7">
              <w:rPr>
                <w:sz w:val="19"/>
                <w:szCs w:val="19"/>
              </w:rPr>
              <w:t>To identify the firm-level financial ratios, firm characteristics, and macroeconomic indicators significantly associated with financial distress among Indian manufacturing companies.</w:t>
            </w:r>
          </w:p>
        </w:tc>
        <w:tc>
          <w:tcPr>
            <w:tcW w:w="3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DAEF5C" w14:textId="77777777" w:rsidR="00BF3C9F" w:rsidRPr="004D13C7" w:rsidRDefault="00000000" w:rsidP="005E27C2">
            <w:pPr>
              <w:spacing w:after="80" w:line="276" w:lineRule="auto"/>
            </w:pPr>
            <w:r w:rsidRPr="004D13C7">
              <w:rPr>
                <w:sz w:val="19"/>
                <w:szCs w:val="19"/>
              </w:rPr>
              <w:t xml:space="preserve">Year-wise </w:t>
            </w:r>
            <w:proofErr w:type="spellStart"/>
            <w:r w:rsidRPr="004D13C7">
              <w:rPr>
                <w:sz w:val="19"/>
                <w:szCs w:val="19"/>
              </w:rPr>
              <w:t>winsorization</w:t>
            </w:r>
            <w:proofErr w:type="spellEnd"/>
            <w:r w:rsidRPr="004D13C7">
              <w:rPr>
                <w:sz w:val="19"/>
                <w:szCs w:val="19"/>
              </w:rPr>
              <w:t xml:space="preserve"> of continuous ratios (1st/99th percentile; 2.5th/97.5th for interest coverage).</w:t>
            </w:r>
          </w:p>
          <w:p w14:paraId="1E1D66D4" w14:textId="77777777" w:rsidR="00BF3C9F" w:rsidRPr="004D13C7" w:rsidRDefault="00000000" w:rsidP="005E27C2">
            <w:pPr>
              <w:spacing w:after="80" w:line="276" w:lineRule="auto"/>
            </w:pPr>
            <w:r w:rsidRPr="004D13C7">
              <w:rPr>
                <w:sz w:val="19"/>
                <w:szCs w:val="19"/>
              </w:rPr>
              <w:t>Univariate Mann-Whitney U comparison of distressed vs. non-distressed firm-years.</w:t>
            </w:r>
          </w:p>
          <w:p w14:paraId="68FE94A7" w14:textId="77777777" w:rsidR="00BF3C9F" w:rsidRPr="004D13C7" w:rsidRDefault="00000000" w:rsidP="005E27C2">
            <w:pPr>
              <w:spacing w:after="80" w:line="276" w:lineRule="auto"/>
            </w:pPr>
            <w:r w:rsidRPr="004D13C7">
              <w:rPr>
                <w:sz w:val="19"/>
                <w:szCs w:val="19"/>
              </w:rPr>
              <w:t>Multivariate logistic regression with Manufacturing Sector Group and financial year fixed effects (Specification A).</w:t>
            </w:r>
          </w:p>
          <w:p w14:paraId="0999A902" w14:textId="77777777" w:rsidR="00BF3C9F" w:rsidRPr="004D13C7" w:rsidRDefault="00000000" w:rsidP="005E27C2">
            <w:pPr>
              <w:spacing w:line="276" w:lineRule="auto"/>
            </w:pPr>
            <w:r w:rsidRPr="004D13C7">
              <w:rPr>
                <w:sz w:val="19"/>
                <w:szCs w:val="19"/>
              </w:rPr>
              <w:t>A second logistic specification replacing year fixed effects with four macroeconomic regressors (Specification B).</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F55923" w14:textId="77777777" w:rsidR="00BF3C9F" w:rsidRPr="004D13C7" w:rsidRDefault="00000000" w:rsidP="005E27C2">
            <w:pPr>
              <w:spacing w:after="80" w:line="276" w:lineRule="auto"/>
            </w:pPr>
            <w:r w:rsidRPr="004D13C7">
              <w:rPr>
                <w:sz w:val="19"/>
                <w:szCs w:val="19"/>
              </w:rPr>
              <w:t xml:space="preserve">CMIE </w:t>
            </w:r>
            <w:proofErr w:type="spellStart"/>
            <w:r w:rsidRPr="004D13C7">
              <w:rPr>
                <w:sz w:val="19"/>
                <w:szCs w:val="19"/>
              </w:rPr>
              <w:t>ProwessIQ</w:t>
            </w:r>
            <w:proofErr w:type="spellEnd"/>
            <w:r w:rsidRPr="004D13C7">
              <w:rPr>
                <w:sz w:val="19"/>
                <w:szCs w:val="19"/>
              </w:rPr>
              <w:t xml:space="preserve"> firm-level micro data (FY2014–FY2025).</w:t>
            </w:r>
          </w:p>
          <w:p w14:paraId="6D698262" w14:textId="1A47D122" w:rsidR="00BF3C9F" w:rsidRPr="004D13C7" w:rsidRDefault="00000000" w:rsidP="005E27C2">
            <w:pPr>
              <w:spacing w:after="80" w:line="276" w:lineRule="auto"/>
            </w:pPr>
            <w:r w:rsidRPr="004D13C7">
              <w:rPr>
                <w:sz w:val="19"/>
                <w:szCs w:val="19"/>
              </w:rPr>
              <w:t>RBI Handbook of Statistics, and policyuncertainty.com macroeconomic series.</w:t>
            </w:r>
          </w:p>
          <w:p w14:paraId="03BBCE4F" w14:textId="77777777" w:rsidR="00BF3C9F" w:rsidRPr="004D13C7" w:rsidRDefault="00000000" w:rsidP="005E27C2">
            <w:pPr>
              <w:spacing w:after="80" w:line="276" w:lineRule="auto"/>
            </w:pPr>
            <w:r w:rsidRPr="004D13C7">
              <w:rPr>
                <w:sz w:val="19"/>
                <w:szCs w:val="19"/>
              </w:rPr>
              <w:t xml:space="preserve">Python (pandas, NumPy, </w:t>
            </w:r>
            <w:proofErr w:type="spellStart"/>
            <w:r w:rsidRPr="004D13C7">
              <w:rPr>
                <w:sz w:val="19"/>
                <w:szCs w:val="19"/>
              </w:rPr>
              <w:t>statsmodels</w:t>
            </w:r>
            <w:proofErr w:type="spellEnd"/>
            <w:r w:rsidRPr="004D13C7">
              <w:rPr>
                <w:sz w:val="19"/>
                <w:szCs w:val="19"/>
              </w:rPr>
              <w:t>, SciPy).</w:t>
            </w:r>
          </w:p>
          <w:p w14:paraId="56E664F8" w14:textId="77777777" w:rsidR="00BF3C9F" w:rsidRPr="004D13C7" w:rsidRDefault="00000000" w:rsidP="005E27C2">
            <w:pPr>
              <w:spacing w:line="276" w:lineRule="auto"/>
            </w:pPr>
            <w:r w:rsidRPr="004D13C7">
              <w:rPr>
                <w:sz w:val="19"/>
                <w:szCs w:val="19"/>
              </w:rPr>
              <w:t xml:space="preserve">Google </w:t>
            </w:r>
            <w:proofErr w:type="spellStart"/>
            <w:r w:rsidRPr="004D13C7">
              <w:rPr>
                <w:sz w:val="19"/>
                <w:szCs w:val="19"/>
              </w:rPr>
              <w:t>Colab</w:t>
            </w:r>
            <w:proofErr w:type="spellEnd"/>
            <w:r w:rsidRPr="004D13C7">
              <w:rPr>
                <w:sz w:val="19"/>
                <w:szCs w:val="19"/>
              </w:rPr>
              <w:t xml:space="preserve"> / Jupyter Notebook.</w:t>
            </w:r>
          </w:p>
        </w:tc>
      </w:tr>
      <w:tr w:rsidR="00BF3C9F" w:rsidRPr="004D13C7" w14:paraId="469B54E7" w14:textId="77777777" w:rsidTr="00AF6C74">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E4C235" w14:textId="77777777" w:rsidR="00BF3C9F" w:rsidRPr="004D13C7" w:rsidRDefault="00000000" w:rsidP="005E27C2">
            <w:pPr>
              <w:spacing w:line="276" w:lineRule="auto"/>
              <w:jc w:val="center"/>
            </w:pPr>
            <w:r w:rsidRPr="004D13C7">
              <w:rPr>
                <w:sz w:val="19"/>
                <w:szCs w:val="19"/>
              </w:rPr>
              <w:t>2</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FB5175" w14:textId="77777777" w:rsidR="00BF3C9F" w:rsidRPr="004D13C7" w:rsidRDefault="00000000" w:rsidP="005E27C2">
            <w:pPr>
              <w:spacing w:line="276" w:lineRule="auto"/>
            </w:pPr>
            <w:r w:rsidRPr="004D13C7">
              <w:rPr>
                <w:sz w:val="19"/>
                <w:szCs w:val="19"/>
              </w:rPr>
              <w:t>To develop machine learning models for one-year-ahead financial distress prediction and to benchmark their predictive accuracy against the traditional Altman Z″-score and Springate S-score models.</w:t>
            </w:r>
          </w:p>
        </w:tc>
        <w:tc>
          <w:tcPr>
            <w:tcW w:w="3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F70C60D" w14:textId="77777777" w:rsidR="00BF3C9F" w:rsidRPr="004D13C7" w:rsidRDefault="00000000" w:rsidP="005E27C2">
            <w:pPr>
              <w:spacing w:after="80" w:line="276" w:lineRule="auto"/>
            </w:pPr>
            <w:r w:rsidRPr="004D13C7">
              <w:rPr>
                <w:sz w:val="19"/>
                <w:szCs w:val="19"/>
              </w:rPr>
              <w:t>Leakage-controlled construction of DISTRESS(t+1) using consecutive firm-year pairs.</w:t>
            </w:r>
          </w:p>
          <w:p w14:paraId="646AC4AD" w14:textId="6E216C0D" w:rsidR="00BF3C9F" w:rsidRPr="004D13C7" w:rsidRDefault="00000000" w:rsidP="005E27C2">
            <w:pPr>
              <w:spacing w:after="80" w:line="276" w:lineRule="auto"/>
            </w:pPr>
            <w:r w:rsidRPr="004D13C7">
              <w:rPr>
                <w:sz w:val="19"/>
                <w:szCs w:val="19"/>
              </w:rPr>
              <w:t xml:space="preserve">Chronological train (FY2014–FY2021) / test </w:t>
            </w:r>
            <w:r w:rsidR="00C73B5D" w:rsidRPr="00C73B5D">
              <w:rPr>
                <w:sz w:val="19"/>
                <w:szCs w:val="19"/>
              </w:rPr>
              <w:t>(FY2022–FY2024)</w:t>
            </w:r>
            <w:r w:rsidR="00C73B5D">
              <w:rPr>
                <w:sz w:val="19"/>
                <w:szCs w:val="19"/>
              </w:rPr>
              <w:t xml:space="preserve"> </w:t>
            </w:r>
            <w:r w:rsidRPr="004D13C7">
              <w:rPr>
                <w:sz w:val="19"/>
                <w:szCs w:val="19"/>
              </w:rPr>
              <w:t xml:space="preserve">split; </w:t>
            </w:r>
            <w:proofErr w:type="spellStart"/>
            <w:r w:rsidRPr="004D13C7">
              <w:rPr>
                <w:sz w:val="19"/>
                <w:szCs w:val="19"/>
              </w:rPr>
              <w:t>winsorization</w:t>
            </w:r>
            <w:proofErr w:type="spellEnd"/>
            <w:r w:rsidRPr="004D13C7">
              <w:rPr>
                <w:sz w:val="19"/>
                <w:szCs w:val="19"/>
              </w:rPr>
              <w:t xml:space="preserve"> and feature scaling fitted on training years only.</w:t>
            </w:r>
          </w:p>
          <w:p w14:paraId="6F080686" w14:textId="77777777" w:rsidR="00BF3C9F" w:rsidRPr="004D13C7" w:rsidRDefault="00000000" w:rsidP="005E27C2">
            <w:pPr>
              <w:spacing w:after="80" w:line="276" w:lineRule="auto"/>
            </w:pPr>
            <w:r w:rsidRPr="004D13C7">
              <w:rPr>
                <w:sz w:val="19"/>
                <w:szCs w:val="19"/>
              </w:rPr>
              <w:t xml:space="preserve">Logistic Regression, Random Forest, and </w:t>
            </w:r>
            <w:proofErr w:type="spellStart"/>
            <w:r w:rsidRPr="004D13C7">
              <w:rPr>
                <w:sz w:val="19"/>
                <w:szCs w:val="19"/>
              </w:rPr>
              <w:t>XGBoost</w:t>
            </w:r>
            <w:proofErr w:type="spellEnd"/>
            <w:r w:rsidRPr="004D13C7">
              <w:rPr>
                <w:sz w:val="19"/>
                <w:szCs w:val="19"/>
              </w:rPr>
              <w:t xml:space="preserve"> classifiers trained on firm-level and macroeconomic features.</w:t>
            </w:r>
          </w:p>
          <w:p w14:paraId="21EF2F2E" w14:textId="77777777" w:rsidR="00BF3C9F" w:rsidRPr="004D13C7" w:rsidRDefault="00000000" w:rsidP="005E27C2">
            <w:pPr>
              <w:spacing w:line="276" w:lineRule="auto"/>
            </w:pPr>
            <w:r w:rsidRPr="004D13C7">
              <w:rPr>
                <w:sz w:val="19"/>
                <w:szCs w:val="19"/>
              </w:rPr>
              <w:lastRenderedPageBreak/>
              <w:t>Altman Z″ and Springate S benchmark scores computed from fixed literature formulas and evaluated on the identical held-out test set using AUC-ROC.</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FF1ABC9" w14:textId="77777777" w:rsidR="00BF3C9F" w:rsidRPr="004D13C7" w:rsidRDefault="00000000" w:rsidP="005E27C2">
            <w:pPr>
              <w:spacing w:after="80" w:line="276" w:lineRule="auto"/>
            </w:pPr>
            <w:r w:rsidRPr="004D13C7">
              <w:rPr>
                <w:sz w:val="19"/>
                <w:szCs w:val="19"/>
              </w:rPr>
              <w:lastRenderedPageBreak/>
              <w:t xml:space="preserve">Same CMIE </w:t>
            </w:r>
            <w:proofErr w:type="spellStart"/>
            <w:r w:rsidRPr="004D13C7">
              <w:rPr>
                <w:sz w:val="19"/>
                <w:szCs w:val="19"/>
              </w:rPr>
              <w:t>ProwessIQ</w:t>
            </w:r>
            <w:proofErr w:type="spellEnd"/>
            <w:r w:rsidRPr="004D13C7">
              <w:rPr>
                <w:sz w:val="19"/>
                <w:szCs w:val="19"/>
              </w:rPr>
              <w:t xml:space="preserve"> and macroeconomic data sources as Objective 1.</w:t>
            </w:r>
          </w:p>
          <w:p w14:paraId="25582114" w14:textId="77777777" w:rsidR="00BF3C9F" w:rsidRPr="004D13C7" w:rsidRDefault="00000000" w:rsidP="005E27C2">
            <w:pPr>
              <w:spacing w:after="80" w:line="276" w:lineRule="auto"/>
            </w:pPr>
            <w:r w:rsidRPr="004D13C7">
              <w:rPr>
                <w:sz w:val="19"/>
                <w:szCs w:val="19"/>
              </w:rPr>
              <w:t xml:space="preserve">Python (scikit-learn, </w:t>
            </w:r>
            <w:proofErr w:type="spellStart"/>
            <w:r w:rsidRPr="004D13C7">
              <w:rPr>
                <w:sz w:val="19"/>
                <w:szCs w:val="19"/>
              </w:rPr>
              <w:t>XGBoost</w:t>
            </w:r>
            <w:proofErr w:type="spellEnd"/>
            <w:r w:rsidRPr="004D13C7">
              <w:rPr>
                <w:sz w:val="19"/>
                <w:szCs w:val="19"/>
              </w:rPr>
              <w:t>).</w:t>
            </w:r>
          </w:p>
          <w:p w14:paraId="40F9B4D6" w14:textId="77777777" w:rsidR="00BF3C9F" w:rsidRPr="004D13C7" w:rsidRDefault="00000000" w:rsidP="005E27C2">
            <w:pPr>
              <w:spacing w:line="276" w:lineRule="auto"/>
            </w:pPr>
            <w:r w:rsidRPr="004D13C7">
              <w:rPr>
                <w:sz w:val="19"/>
                <w:szCs w:val="19"/>
              </w:rPr>
              <w:t xml:space="preserve">Google </w:t>
            </w:r>
            <w:proofErr w:type="spellStart"/>
            <w:r w:rsidRPr="004D13C7">
              <w:rPr>
                <w:sz w:val="19"/>
                <w:szCs w:val="19"/>
              </w:rPr>
              <w:t>Colab</w:t>
            </w:r>
            <w:proofErr w:type="spellEnd"/>
            <w:r w:rsidRPr="004D13C7">
              <w:rPr>
                <w:sz w:val="19"/>
                <w:szCs w:val="19"/>
              </w:rPr>
              <w:t xml:space="preserve"> / Jupyter Notebook.</w:t>
            </w:r>
          </w:p>
        </w:tc>
      </w:tr>
      <w:tr w:rsidR="00BF3C9F" w:rsidRPr="004D13C7" w14:paraId="19543E0F" w14:textId="77777777" w:rsidTr="00AF6C74">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14EF9E" w14:textId="77777777" w:rsidR="00BF3C9F" w:rsidRPr="004D13C7" w:rsidRDefault="00000000" w:rsidP="005E27C2">
            <w:pPr>
              <w:spacing w:line="276" w:lineRule="auto"/>
              <w:jc w:val="center"/>
            </w:pPr>
            <w:r w:rsidRPr="004D13C7">
              <w:rPr>
                <w:sz w:val="19"/>
                <w:szCs w:val="19"/>
              </w:rPr>
              <w:lastRenderedPageBreak/>
              <w:t>3</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396819" w14:textId="77777777" w:rsidR="00BF3C9F" w:rsidRPr="004D13C7" w:rsidRDefault="00000000" w:rsidP="005E27C2">
            <w:pPr>
              <w:spacing w:line="276" w:lineRule="auto"/>
            </w:pPr>
            <w:r w:rsidRPr="004D13C7">
              <w:rPr>
                <w:sz w:val="19"/>
                <w:szCs w:val="19"/>
              </w:rPr>
              <w:t>To determine, through explainable artificial intelligence (SHAP) techniques, which individual indicators and categories of indicators contribute most significantly to the machine learning model's predictions.</w:t>
            </w:r>
          </w:p>
        </w:tc>
        <w:tc>
          <w:tcPr>
            <w:tcW w:w="3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B5B6FE9" w14:textId="77777777" w:rsidR="00BF3C9F" w:rsidRPr="004D13C7" w:rsidRDefault="00000000" w:rsidP="005E27C2">
            <w:pPr>
              <w:spacing w:after="80" w:line="276" w:lineRule="auto"/>
            </w:pPr>
            <w:r w:rsidRPr="004D13C7">
              <w:rPr>
                <w:sz w:val="19"/>
                <w:szCs w:val="19"/>
              </w:rPr>
              <w:t xml:space="preserve">SHAP (Shapley Additive </w:t>
            </w:r>
            <w:proofErr w:type="spellStart"/>
            <w:r w:rsidRPr="004D13C7">
              <w:rPr>
                <w:sz w:val="19"/>
                <w:szCs w:val="19"/>
              </w:rPr>
              <w:t>exPlanations</w:t>
            </w:r>
            <w:proofErr w:type="spellEnd"/>
            <w:r w:rsidRPr="004D13C7">
              <w:rPr>
                <w:sz w:val="19"/>
                <w:szCs w:val="19"/>
              </w:rPr>
              <w:t xml:space="preserve">) values computed for the winning </w:t>
            </w:r>
            <w:proofErr w:type="spellStart"/>
            <w:r w:rsidRPr="004D13C7">
              <w:rPr>
                <w:sz w:val="19"/>
                <w:szCs w:val="19"/>
              </w:rPr>
              <w:t>XGBoost</w:t>
            </w:r>
            <w:proofErr w:type="spellEnd"/>
            <w:r w:rsidRPr="004D13C7">
              <w:rPr>
                <w:sz w:val="19"/>
                <w:szCs w:val="19"/>
              </w:rPr>
              <w:t xml:space="preserve"> model from Objective 2, using the identical feature set, train/test split, and </w:t>
            </w:r>
            <w:proofErr w:type="spellStart"/>
            <w:r w:rsidRPr="004D13C7">
              <w:rPr>
                <w:sz w:val="19"/>
                <w:szCs w:val="19"/>
              </w:rPr>
              <w:t>winsorization</w:t>
            </w:r>
            <w:proofErr w:type="spellEnd"/>
            <w:r w:rsidRPr="004D13C7">
              <w:rPr>
                <w:sz w:val="19"/>
                <w:szCs w:val="19"/>
              </w:rPr>
              <w:t xml:space="preserve"> bounds.</w:t>
            </w:r>
          </w:p>
          <w:p w14:paraId="4DE0F58A" w14:textId="77777777" w:rsidR="00BF3C9F" w:rsidRPr="004D13C7" w:rsidRDefault="00000000" w:rsidP="005E27C2">
            <w:pPr>
              <w:spacing w:after="80" w:line="276" w:lineRule="auto"/>
            </w:pPr>
            <w:r w:rsidRPr="004D13C7">
              <w:rPr>
                <w:sz w:val="19"/>
                <w:szCs w:val="19"/>
              </w:rPr>
              <w:t>Feature-level ranking by mean absolute SHAP value; aggregation of individual features into eight indicator categories for category-level importance.</w:t>
            </w:r>
          </w:p>
          <w:p w14:paraId="4A389C4E" w14:textId="77777777" w:rsidR="00BF3C9F" w:rsidRPr="004D13C7" w:rsidRDefault="00000000" w:rsidP="005E27C2">
            <w:pPr>
              <w:spacing w:line="276" w:lineRule="auto"/>
            </w:pPr>
            <w:r w:rsidRPr="004D13C7">
              <w:rPr>
                <w:sz w:val="19"/>
                <w:szCs w:val="19"/>
              </w:rPr>
              <w:t xml:space="preserve">SHAP </w:t>
            </w:r>
            <w:proofErr w:type="spellStart"/>
            <w:r w:rsidRPr="004D13C7">
              <w:rPr>
                <w:sz w:val="19"/>
                <w:szCs w:val="19"/>
              </w:rPr>
              <w:t>beeswarm</w:t>
            </w:r>
            <w:proofErr w:type="spellEnd"/>
            <w:r w:rsidRPr="004D13C7">
              <w:rPr>
                <w:sz w:val="19"/>
                <w:szCs w:val="19"/>
              </w:rPr>
              <w:t xml:space="preserve"> analysis of direction of effect for the top-ranked predictors.</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D128C2" w14:textId="77777777" w:rsidR="00BF3C9F" w:rsidRPr="004D13C7" w:rsidRDefault="00000000" w:rsidP="005E27C2">
            <w:pPr>
              <w:spacing w:after="80" w:line="276" w:lineRule="auto"/>
            </w:pPr>
            <w:r w:rsidRPr="004D13C7">
              <w:rPr>
                <w:sz w:val="19"/>
                <w:szCs w:val="19"/>
              </w:rPr>
              <w:t xml:space="preserve">The trained </w:t>
            </w:r>
            <w:proofErr w:type="spellStart"/>
            <w:r w:rsidRPr="004D13C7">
              <w:rPr>
                <w:sz w:val="19"/>
                <w:szCs w:val="19"/>
              </w:rPr>
              <w:t>XGBoost</w:t>
            </w:r>
            <w:proofErr w:type="spellEnd"/>
            <w:r w:rsidRPr="004D13C7">
              <w:rPr>
                <w:sz w:val="19"/>
                <w:szCs w:val="19"/>
              </w:rPr>
              <w:t xml:space="preserve"> model and test set from Objective 2.</w:t>
            </w:r>
          </w:p>
          <w:p w14:paraId="0B15A52C" w14:textId="77777777" w:rsidR="00BF3C9F" w:rsidRPr="004D13C7" w:rsidRDefault="00000000" w:rsidP="005E27C2">
            <w:pPr>
              <w:spacing w:after="80" w:line="276" w:lineRule="auto"/>
            </w:pPr>
            <w:r w:rsidRPr="004D13C7">
              <w:rPr>
                <w:sz w:val="19"/>
                <w:szCs w:val="19"/>
              </w:rPr>
              <w:t>Python (SHAP library, matplotlib).</w:t>
            </w:r>
          </w:p>
          <w:p w14:paraId="586E44DA" w14:textId="77777777" w:rsidR="00BF3C9F" w:rsidRPr="004D13C7" w:rsidRDefault="00000000" w:rsidP="005E27C2">
            <w:pPr>
              <w:spacing w:line="276" w:lineRule="auto"/>
            </w:pPr>
            <w:r w:rsidRPr="004D13C7">
              <w:rPr>
                <w:sz w:val="19"/>
                <w:szCs w:val="19"/>
              </w:rPr>
              <w:t xml:space="preserve">Google </w:t>
            </w:r>
            <w:proofErr w:type="spellStart"/>
            <w:r w:rsidRPr="004D13C7">
              <w:rPr>
                <w:sz w:val="19"/>
                <w:szCs w:val="19"/>
              </w:rPr>
              <w:t>Colab</w:t>
            </w:r>
            <w:proofErr w:type="spellEnd"/>
            <w:r w:rsidRPr="004D13C7">
              <w:rPr>
                <w:sz w:val="19"/>
                <w:szCs w:val="19"/>
              </w:rPr>
              <w:t xml:space="preserve"> / Jupyter Notebook.</w:t>
            </w:r>
          </w:p>
        </w:tc>
      </w:tr>
      <w:tr w:rsidR="00BF3C9F" w:rsidRPr="004D13C7" w14:paraId="7ACC2432" w14:textId="77777777" w:rsidTr="00AF6C74">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DD7747" w14:textId="77777777" w:rsidR="00BF3C9F" w:rsidRPr="004D13C7" w:rsidRDefault="00000000" w:rsidP="005E27C2">
            <w:pPr>
              <w:spacing w:line="276" w:lineRule="auto"/>
              <w:jc w:val="center"/>
            </w:pPr>
            <w:r w:rsidRPr="004D13C7">
              <w:rPr>
                <w:sz w:val="19"/>
                <w:szCs w:val="19"/>
              </w:rPr>
              <w:t>4</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35B09C" w14:textId="77777777" w:rsidR="00BF3C9F" w:rsidRPr="004D13C7" w:rsidRDefault="00000000" w:rsidP="005E27C2">
            <w:pPr>
              <w:spacing w:line="276" w:lineRule="auto"/>
            </w:pPr>
            <w:r w:rsidRPr="004D13C7">
              <w:rPr>
                <w:sz w:val="19"/>
                <w:szCs w:val="19"/>
              </w:rPr>
              <w:t>To evaluate the robustness and generalisability of the developed model across manufacturing sub-sectors, the pre-/post-IBC regulatory regimes, and the COVID-19 period.</w:t>
            </w:r>
          </w:p>
        </w:tc>
        <w:tc>
          <w:tcPr>
            <w:tcW w:w="30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CC55E5C" w14:textId="77777777" w:rsidR="00BF3C9F" w:rsidRPr="004D13C7" w:rsidRDefault="00000000" w:rsidP="005E27C2">
            <w:pPr>
              <w:spacing w:after="80" w:line="276" w:lineRule="auto"/>
            </w:pPr>
            <w:r w:rsidRPr="004D13C7">
              <w:rPr>
                <w:sz w:val="19"/>
                <w:szCs w:val="19"/>
              </w:rPr>
              <w:t>Within-subgroup re-estimation and full-sample-to-subgroup transfer testing (AUC) across ten Manufacturing Sector Groups and the pre-/post-IBC regime split.</w:t>
            </w:r>
          </w:p>
          <w:p w14:paraId="6AC1DBD7" w14:textId="77777777" w:rsidR="00BF3C9F" w:rsidRPr="004D13C7" w:rsidRDefault="00000000" w:rsidP="005E27C2">
            <w:pPr>
              <w:spacing w:after="80" w:line="276" w:lineRule="auto"/>
            </w:pPr>
            <w:r w:rsidRPr="004D13C7">
              <w:rPr>
                <w:sz w:val="19"/>
                <w:szCs w:val="19"/>
              </w:rPr>
              <w:t>Within-period 70/30 train/test re-estimation for the COVID-19 (FY2020–FY2021) versus non-COVID period comparison.</w:t>
            </w:r>
          </w:p>
          <w:p w14:paraId="2A1BC104" w14:textId="77777777" w:rsidR="00BF3C9F" w:rsidRPr="004D13C7" w:rsidRDefault="00000000" w:rsidP="005E27C2">
            <w:pPr>
              <w:spacing w:line="276" w:lineRule="auto"/>
            </w:pPr>
            <w:r w:rsidRPr="004D13C7">
              <w:rPr>
                <w:sz w:val="19"/>
                <w:szCs w:val="19"/>
              </w:rPr>
              <w:t>A macro-mechanism logistic regression comparing a COVID-period dummy coefficient with and without macroeconomic controls.</w:t>
            </w:r>
          </w:p>
        </w:tc>
        <w:tc>
          <w:tcPr>
            <w:tcW w:w="26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5C87E3D" w14:textId="77777777" w:rsidR="00BF3C9F" w:rsidRPr="004D13C7" w:rsidRDefault="00000000" w:rsidP="005E27C2">
            <w:pPr>
              <w:spacing w:after="80" w:line="276" w:lineRule="auto"/>
            </w:pPr>
            <w:r w:rsidRPr="004D13C7">
              <w:rPr>
                <w:sz w:val="19"/>
                <w:szCs w:val="19"/>
              </w:rPr>
              <w:t xml:space="preserve">Same CMIE </w:t>
            </w:r>
            <w:proofErr w:type="spellStart"/>
            <w:r w:rsidRPr="004D13C7">
              <w:rPr>
                <w:sz w:val="19"/>
                <w:szCs w:val="19"/>
              </w:rPr>
              <w:t>ProwessIQ</w:t>
            </w:r>
            <w:proofErr w:type="spellEnd"/>
            <w:r w:rsidRPr="004D13C7">
              <w:rPr>
                <w:sz w:val="19"/>
                <w:szCs w:val="19"/>
              </w:rPr>
              <w:t xml:space="preserve"> and macroeconomic data sources, reference model, and </w:t>
            </w:r>
            <w:proofErr w:type="spellStart"/>
            <w:r w:rsidRPr="004D13C7">
              <w:rPr>
                <w:sz w:val="19"/>
                <w:szCs w:val="19"/>
              </w:rPr>
              <w:t>winsorization</w:t>
            </w:r>
            <w:proofErr w:type="spellEnd"/>
            <w:r w:rsidRPr="004D13C7">
              <w:rPr>
                <w:sz w:val="19"/>
                <w:szCs w:val="19"/>
              </w:rPr>
              <w:t xml:space="preserve"> bounds as Objective 2.</w:t>
            </w:r>
          </w:p>
          <w:p w14:paraId="779F9E15" w14:textId="77777777" w:rsidR="00BF3C9F" w:rsidRPr="004D13C7" w:rsidRDefault="00000000" w:rsidP="005E27C2">
            <w:pPr>
              <w:spacing w:after="80" w:line="276" w:lineRule="auto"/>
            </w:pPr>
            <w:r w:rsidRPr="004D13C7">
              <w:rPr>
                <w:sz w:val="19"/>
                <w:szCs w:val="19"/>
              </w:rPr>
              <w:t xml:space="preserve">Python (scikit-learn, </w:t>
            </w:r>
            <w:proofErr w:type="spellStart"/>
            <w:r w:rsidRPr="004D13C7">
              <w:rPr>
                <w:sz w:val="19"/>
                <w:szCs w:val="19"/>
              </w:rPr>
              <w:t>XGBoost</w:t>
            </w:r>
            <w:proofErr w:type="spellEnd"/>
            <w:r w:rsidRPr="004D13C7">
              <w:rPr>
                <w:sz w:val="19"/>
                <w:szCs w:val="19"/>
              </w:rPr>
              <w:t xml:space="preserve">, </w:t>
            </w:r>
            <w:proofErr w:type="spellStart"/>
            <w:r w:rsidRPr="004D13C7">
              <w:rPr>
                <w:sz w:val="19"/>
                <w:szCs w:val="19"/>
              </w:rPr>
              <w:t>statsmodels</w:t>
            </w:r>
            <w:proofErr w:type="spellEnd"/>
            <w:r w:rsidRPr="004D13C7">
              <w:rPr>
                <w:sz w:val="19"/>
                <w:szCs w:val="19"/>
              </w:rPr>
              <w:t>).</w:t>
            </w:r>
          </w:p>
          <w:p w14:paraId="4180871C" w14:textId="77777777" w:rsidR="00BF3C9F" w:rsidRPr="004D13C7" w:rsidRDefault="00000000" w:rsidP="005E27C2">
            <w:pPr>
              <w:spacing w:line="276" w:lineRule="auto"/>
            </w:pPr>
            <w:r w:rsidRPr="004D13C7">
              <w:rPr>
                <w:sz w:val="19"/>
                <w:szCs w:val="19"/>
              </w:rPr>
              <w:t xml:space="preserve">Google </w:t>
            </w:r>
            <w:proofErr w:type="spellStart"/>
            <w:r w:rsidRPr="004D13C7">
              <w:rPr>
                <w:sz w:val="19"/>
                <w:szCs w:val="19"/>
              </w:rPr>
              <w:t>Colab</w:t>
            </w:r>
            <w:proofErr w:type="spellEnd"/>
            <w:r w:rsidRPr="004D13C7">
              <w:rPr>
                <w:sz w:val="19"/>
                <w:szCs w:val="19"/>
              </w:rPr>
              <w:t xml:space="preserve"> / Jupyter Notebook.</w:t>
            </w:r>
          </w:p>
        </w:tc>
      </w:tr>
    </w:tbl>
    <w:p w14:paraId="04958901" w14:textId="77777777" w:rsidR="00BF3C9F" w:rsidRPr="006A57F8" w:rsidRDefault="00000000" w:rsidP="005E27C2">
      <w:pPr>
        <w:spacing w:before="160" w:after="200" w:line="276" w:lineRule="auto"/>
        <w:jc w:val="center"/>
      </w:pPr>
      <w:r w:rsidRPr="006A57F8">
        <w:rPr>
          <w:b/>
          <w:bCs/>
          <w:sz w:val="22"/>
          <w:szCs w:val="22"/>
        </w:rPr>
        <w:t>Table 3.1: Methods and Methodology by Objective</w:t>
      </w:r>
    </w:p>
    <w:p w14:paraId="310EB308" w14:textId="77777777" w:rsidR="00AF6C74" w:rsidRPr="004D13C7" w:rsidRDefault="00F93FD8" w:rsidP="00AF6C74">
      <w:pPr>
        <w:pStyle w:val="Heading2"/>
        <w:spacing w:before="320" w:after="200" w:line="276" w:lineRule="auto"/>
        <w:rPr>
          <w:color w:val="auto"/>
        </w:rPr>
      </w:pPr>
      <w:r w:rsidRPr="004D13C7">
        <w:rPr>
          <w:b/>
          <w:bCs/>
          <w:color w:val="auto"/>
        </w:rPr>
        <w:t>3.4 Sample</w:t>
      </w:r>
      <w:r w:rsidR="00000000" w:rsidRPr="004D13C7">
        <w:rPr>
          <w:b/>
          <w:bCs/>
          <w:color w:val="auto"/>
        </w:rPr>
        <w:t xml:space="preserve"> Selection and Data Extraction</w:t>
      </w:r>
    </w:p>
    <w:p w14:paraId="4B7B7A44" w14:textId="08BC0B6B" w:rsidR="00F93FD8" w:rsidRPr="004D13C7" w:rsidRDefault="00F93FD8" w:rsidP="00237089">
      <w:pPr>
        <w:pStyle w:val="Heading2"/>
        <w:spacing w:before="320" w:after="200" w:line="276" w:lineRule="auto"/>
        <w:jc w:val="both"/>
        <w:rPr>
          <w:color w:val="auto"/>
        </w:rPr>
      </w:pPr>
      <w:r w:rsidRPr="004D13C7">
        <w:rPr>
          <w:color w:val="auto"/>
          <w:sz w:val="24"/>
          <w:szCs w:val="24"/>
        </w:rPr>
        <w:t xml:space="preserve">The primary firm-level data for this study was obtained from the Centre for Monitoring Indian Economy (CMIE) </w:t>
      </w:r>
      <w:proofErr w:type="spellStart"/>
      <w:r w:rsidRPr="004D13C7">
        <w:rPr>
          <w:color w:val="auto"/>
          <w:sz w:val="24"/>
          <w:szCs w:val="24"/>
        </w:rPr>
        <w:t>ProwessIQ</w:t>
      </w:r>
      <w:proofErr w:type="spellEnd"/>
      <w:r w:rsidRPr="004D13C7">
        <w:rPr>
          <w:color w:val="auto"/>
          <w:sz w:val="24"/>
          <w:szCs w:val="24"/>
        </w:rPr>
        <w:t xml:space="preserve"> database. The initial dataset included 5,833 listed Indian companies from a wide range of industries. Some of these companies belonged to financial services, which fell outside the manufacturing focus of this study and operated under different regulatory and accounting frameworks. Thirteen financial-services industry groups, including banking, housing finance, asset management, and securities broking, were therefore excluded. This removed 1,026 companies and left 4,807 companies relevant to the manufacturing and non-financial scope of the study.</w:t>
      </w:r>
    </w:p>
    <w:p w14:paraId="5B0E5F63" w14:textId="77777777" w:rsidR="00F93FD8" w:rsidRPr="004D13C7" w:rsidRDefault="00F93FD8" w:rsidP="00F93FD8">
      <w:pPr>
        <w:pStyle w:val="Heading2"/>
        <w:spacing w:before="320" w:after="200" w:line="276" w:lineRule="auto"/>
        <w:jc w:val="both"/>
        <w:rPr>
          <w:color w:val="auto"/>
          <w:sz w:val="24"/>
          <w:szCs w:val="24"/>
        </w:rPr>
      </w:pPr>
      <w:r w:rsidRPr="004D13C7">
        <w:rPr>
          <w:color w:val="auto"/>
          <w:sz w:val="24"/>
          <w:szCs w:val="24"/>
        </w:rPr>
        <w:lastRenderedPageBreak/>
        <w:t xml:space="preserve">A further data-cleaning process was then applied to address missing financial information. Companies with more than 30 per cent of the required financial data missing during the 2014 to 2025 period were excluded from the sample. This step removed a further 1,725 companies, mainly because of discontinuous listing histories or incomplete data coverage in the </w:t>
      </w:r>
      <w:proofErr w:type="spellStart"/>
      <w:r w:rsidRPr="004D13C7">
        <w:rPr>
          <w:color w:val="auto"/>
          <w:sz w:val="24"/>
          <w:szCs w:val="24"/>
        </w:rPr>
        <w:t>ProwessIQ</w:t>
      </w:r>
      <w:proofErr w:type="spellEnd"/>
      <w:r w:rsidRPr="004D13C7">
        <w:rPr>
          <w:color w:val="auto"/>
          <w:sz w:val="24"/>
          <w:szCs w:val="24"/>
        </w:rPr>
        <w:t xml:space="preserve"> database. After both stages of data cleaning, the final sample consisted of 3,082 manufacturing companies. These companies were grouped into ten Manufacturing Sector Groups based on their primary CMIE industry classification. The sector groups included Automotive and Auto Components, Chemicals, Petrochemicals and Pharmaceuticals, and Heavy Engineering, Metals and Mining, among others. This classification was used to support the sector-level robustness analysis conducted under Objective 4.</w:t>
      </w:r>
    </w:p>
    <w:p w14:paraId="2129D677" w14:textId="63EF83E5" w:rsidR="00BF3C9F" w:rsidRPr="004D13C7" w:rsidRDefault="00F93FD8" w:rsidP="005E27C2">
      <w:pPr>
        <w:pStyle w:val="Heading2"/>
        <w:spacing w:before="320" w:after="200" w:line="276" w:lineRule="auto"/>
        <w:rPr>
          <w:color w:val="auto"/>
        </w:rPr>
      </w:pPr>
      <w:r w:rsidRPr="004D13C7">
        <w:rPr>
          <w:b/>
          <w:bCs/>
          <w:color w:val="auto"/>
        </w:rPr>
        <w:t>3.5 Data</w:t>
      </w:r>
      <w:r w:rsidR="00000000" w:rsidRPr="004D13C7">
        <w:rPr>
          <w:b/>
          <w:bCs/>
          <w:color w:val="auto"/>
        </w:rPr>
        <w:t xml:space="preserve"> Preprocessing and Feature Engineering</w:t>
      </w:r>
    </w:p>
    <w:p w14:paraId="71FAE6BB" w14:textId="77777777" w:rsidR="00F93FD8" w:rsidRPr="004D13C7" w:rsidRDefault="00F93FD8" w:rsidP="00F93FD8">
      <w:pPr>
        <w:pStyle w:val="pdq2pgselectionanchorcontainer"/>
        <w:spacing w:line="276" w:lineRule="auto"/>
        <w:jc w:val="both"/>
      </w:pPr>
      <w:r w:rsidRPr="004D13C7">
        <w:t xml:space="preserve">The raw financial data extracted from </w:t>
      </w:r>
      <w:proofErr w:type="spellStart"/>
      <w:r w:rsidRPr="004D13C7">
        <w:t>ProwessIQ</w:t>
      </w:r>
      <w:proofErr w:type="spellEnd"/>
      <w:r w:rsidRPr="004D13C7">
        <w:t xml:space="preserve"> was initially available in a wide format. Eighteen balance-sheet and profit-and-loss items were recorded as separate columns for each of the twelve financial years from 2014 to 2025. Using Python and the </w:t>
      </w:r>
      <w:proofErr w:type="gramStart"/>
      <w:r w:rsidRPr="004D13C7">
        <w:t>pandas</w:t>
      </w:r>
      <w:proofErr w:type="gramEnd"/>
      <w:r w:rsidRPr="004D13C7">
        <w:t xml:space="preserve"> library, the data was reshaped from a wide format into a firm-year panel, where each row represented one company for one financial year. Firm-year observations with no reported values across all eighteen financial items were removed during this process. After the transformation, the dataset contained 36,870 firm-year observations from the 3,082 companies included in the sample.</w:t>
      </w:r>
    </w:p>
    <w:p w14:paraId="56B7A8A3" w14:textId="20CBCDBB" w:rsidR="00F93FD8" w:rsidRPr="004D13C7" w:rsidRDefault="00F93FD8" w:rsidP="00F93FD8">
      <w:pPr>
        <w:pStyle w:val="NormalWeb"/>
        <w:spacing w:line="276" w:lineRule="auto"/>
        <w:jc w:val="both"/>
      </w:pPr>
      <w:r w:rsidRPr="004D13C7">
        <w:t xml:space="preserve">The balance-sheet and profit-and-loss data was then used to calculate the financial ratios and firm characteristics required for the study. All calculations were carried out programmatically in Python. Where a denominator was zero or missing, the resulting value was recorded as null to avoid infinite or undefined values being included in the </w:t>
      </w:r>
      <w:proofErr w:type="spellStart"/>
      <w:r w:rsidRPr="004D13C7">
        <w:t>winsorization</w:t>
      </w:r>
      <w:proofErr w:type="spellEnd"/>
      <w:r w:rsidRPr="004D13C7">
        <w:t xml:space="preserve"> and modelling stages. The formulas used to calculate the firm-level predictors are presented below:</w:t>
      </w:r>
    </w:p>
    <w:p w14:paraId="7C23F0C6" w14:textId="2981727B" w:rsidR="00BF3C9F" w:rsidRPr="004D13C7" w:rsidRDefault="00000000" w:rsidP="005E27C2">
      <w:pPr>
        <w:pStyle w:val="ListParagraph"/>
        <w:numPr>
          <w:ilvl w:val="0"/>
          <w:numId w:val="1"/>
        </w:numPr>
        <w:spacing w:after="120" w:line="276" w:lineRule="auto"/>
        <w:jc w:val="both"/>
      </w:pPr>
      <w:r w:rsidRPr="004D13C7">
        <w:t>Current Ratio: Current Assets / Current Liabilities</w:t>
      </w:r>
    </w:p>
    <w:p w14:paraId="09D8CC7A" w14:textId="77777777" w:rsidR="00BF3C9F" w:rsidRPr="004D13C7" w:rsidRDefault="00000000" w:rsidP="005E27C2">
      <w:pPr>
        <w:pStyle w:val="ListParagraph"/>
        <w:numPr>
          <w:ilvl w:val="0"/>
          <w:numId w:val="1"/>
        </w:numPr>
        <w:spacing w:after="120" w:line="276" w:lineRule="auto"/>
        <w:jc w:val="both"/>
      </w:pPr>
      <w:r w:rsidRPr="004D13C7">
        <w:t>Working Capital to Total Assets (WC/TA): (Current Assets - Current Liabilities) / Total Assets</w:t>
      </w:r>
    </w:p>
    <w:p w14:paraId="5D291133" w14:textId="77777777" w:rsidR="00BF3C9F" w:rsidRPr="004D13C7" w:rsidRDefault="00000000" w:rsidP="005E27C2">
      <w:pPr>
        <w:pStyle w:val="ListParagraph"/>
        <w:numPr>
          <w:ilvl w:val="0"/>
          <w:numId w:val="1"/>
        </w:numPr>
        <w:spacing w:after="120" w:line="276" w:lineRule="auto"/>
        <w:jc w:val="both"/>
      </w:pPr>
      <w:r w:rsidRPr="004D13C7">
        <w:t>Net Worth to Total Assets (NW/TA): Net Worth / Total Assets</w:t>
      </w:r>
    </w:p>
    <w:p w14:paraId="0B85CA2A" w14:textId="77777777" w:rsidR="00BF3C9F" w:rsidRPr="004D13C7" w:rsidRDefault="00000000" w:rsidP="005E27C2">
      <w:pPr>
        <w:pStyle w:val="ListParagraph"/>
        <w:numPr>
          <w:ilvl w:val="0"/>
          <w:numId w:val="1"/>
        </w:numPr>
        <w:spacing w:after="120" w:line="276" w:lineRule="auto"/>
        <w:jc w:val="both"/>
      </w:pPr>
      <w:r w:rsidRPr="004D13C7">
        <w:t>EBIT to Total Assets (EBIT/TA): Profit Before Interest and Tax (PBIT) / Total Assets</w:t>
      </w:r>
    </w:p>
    <w:p w14:paraId="26A971AB" w14:textId="77777777" w:rsidR="00BF3C9F" w:rsidRPr="004D13C7" w:rsidRDefault="00000000" w:rsidP="005E27C2">
      <w:pPr>
        <w:pStyle w:val="ListParagraph"/>
        <w:numPr>
          <w:ilvl w:val="0"/>
          <w:numId w:val="1"/>
        </w:numPr>
        <w:spacing w:after="120" w:line="276" w:lineRule="auto"/>
        <w:jc w:val="both"/>
      </w:pPr>
      <w:r w:rsidRPr="004D13C7">
        <w:t>Return on Assets (ROA): Profit After Tax (PAT) / Total Assets</w:t>
      </w:r>
    </w:p>
    <w:p w14:paraId="4D7A80BE" w14:textId="77777777" w:rsidR="00BF3C9F" w:rsidRPr="004D13C7" w:rsidRDefault="00000000" w:rsidP="005E27C2">
      <w:pPr>
        <w:pStyle w:val="ListParagraph"/>
        <w:numPr>
          <w:ilvl w:val="0"/>
          <w:numId w:val="1"/>
        </w:numPr>
        <w:spacing w:after="120" w:line="276" w:lineRule="auto"/>
        <w:jc w:val="both"/>
      </w:pPr>
      <w:r w:rsidRPr="004D13C7">
        <w:t>Cash Flow from Operations to Total Assets (CFO/TA): Net Cash Flow from Operating Activities / Total Assets</w:t>
      </w:r>
    </w:p>
    <w:p w14:paraId="6FA9C7C5" w14:textId="77777777" w:rsidR="00BF3C9F" w:rsidRPr="004D13C7" w:rsidRDefault="00000000" w:rsidP="005E27C2">
      <w:pPr>
        <w:pStyle w:val="ListParagraph"/>
        <w:numPr>
          <w:ilvl w:val="0"/>
          <w:numId w:val="1"/>
        </w:numPr>
        <w:spacing w:after="120" w:line="276" w:lineRule="auto"/>
        <w:jc w:val="both"/>
      </w:pPr>
      <w:r w:rsidRPr="004D13C7">
        <w:t>Asset Turnover (Sales/TA): Income from Non-Financial Operations / Total Assets</w:t>
      </w:r>
    </w:p>
    <w:p w14:paraId="5F61CD18" w14:textId="77777777" w:rsidR="00BF3C9F" w:rsidRPr="004D13C7" w:rsidRDefault="00000000" w:rsidP="005E27C2">
      <w:pPr>
        <w:pStyle w:val="ListParagraph"/>
        <w:numPr>
          <w:ilvl w:val="0"/>
          <w:numId w:val="1"/>
        </w:numPr>
        <w:spacing w:after="120" w:line="276" w:lineRule="auto"/>
        <w:jc w:val="both"/>
      </w:pPr>
      <w:r w:rsidRPr="004D13C7">
        <w:t>Interest Coverage Ratio (ICR): Profit Before Interest and Tax (PBIT) / Interest Expense</w:t>
      </w:r>
    </w:p>
    <w:p w14:paraId="46060DBA" w14:textId="77777777" w:rsidR="00BF3C9F" w:rsidRPr="004D13C7" w:rsidRDefault="00000000" w:rsidP="005E27C2">
      <w:pPr>
        <w:pStyle w:val="ListParagraph"/>
        <w:numPr>
          <w:ilvl w:val="0"/>
          <w:numId w:val="1"/>
        </w:numPr>
        <w:spacing w:after="120" w:line="276" w:lineRule="auto"/>
        <w:jc w:val="both"/>
      </w:pPr>
      <w:r w:rsidRPr="004D13C7">
        <w:t>Firm Size (Log Assets): Natural logarithm of Total Assets</w:t>
      </w:r>
    </w:p>
    <w:p w14:paraId="650B06C7" w14:textId="77777777" w:rsidR="00A04B56" w:rsidRPr="004D13C7" w:rsidRDefault="00000000" w:rsidP="00A04B56">
      <w:pPr>
        <w:pStyle w:val="ListParagraph"/>
        <w:numPr>
          <w:ilvl w:val="0"/>
          <w:numId w:val="1"/>
        </w:numPr>
        <w:spacing w:after="120" w:line="276" w:lineRule="auto"/>
        <w:jc w:val="both"/>
      </w:pPr>
      <w:r w:rsidRPr="004D13C7">
        <w:t>Firm Age: Financial Year minus Incorporation Year</w:t>
      </w:r>
    </w:p>
    <w:p w14:paraId="385954D2" w14:textId="77777777" w:rsidR="00A04B56" w:rsidRPr="004D13C7" w:rsidRDefault="00A04B56" w:rsidP="00A04B56">
      <w:pPr>
        <w:spacing w:after="120" w:line="276" w:lineRule="auto"/>
        <w:jc w:val="both"/>
      </w:pPr>
      <w:r w:rsidRPr="004D13C7">
        <w:lastRenderedPageBreak/>
        <w:t>The traditional benchmark scores used under Objective 2 were also calculated from the firm-level financial ratios.</w:t>
      </w:r>
    </w:p>
    <w:p w14:paraId="1F661F95" w14:textId="79DD42D1" w:rsidR="00A04B56" w:rsidRPr="004D13C7" w:rsidRDefault="00A04B56" w:rsidP="00A04B56">
      <w:pPr>
        <w:spacing w:after="120" w:line="276" w:lineRule="auto"/>
        <w:jc w:val="both"/>
      </w:pPr>
      <w:r w:rsidRPr="004D13C7">
        <w:t>The Altman Z″-score was calculated using the emerging-markets version of the formula:</w:t>
      </w:r>
    </w:p>
    <w:p w14:paraId="2BD667C1" w14:textId="77777777" w:rsidR="00A04B56" w:rsidRPr="004D13C7" w:rsidRDefault="00A04B56" w:rsidP="00A04B56">
      <w:pPr>
        <w:pStyle w:val="NormalWeb"/>
        <w:jc w:val="both"/>
      </w:pPr>
      <w:r w:rsidRPr="004D13C7">
        <w:rPr>
          <w:rStyle w:val="Strong"/>
        </w:rPr>
        <w:t>6.56 × (WC/TA) + 3.26 × (NW/TA) + 6.72 × (EBIT/TA) + 1.05 × (Net Worth / Total Liabilities)</w:t>
      </w:r>
    </w:p>
    <w:p w14:paraId="5B571BAC" w14:textId="77777777" w:rsidR="00A04B56" w:rsidRPr="004D13C7" w:rsidRDefault="00A04B56" w:rsidP="00A04B56">
      <w:pPr>
        <w:pStyle w:val="NormalWeb"/>
        <w:jc w:val="both"/>
      </w:pPr>
      <w:r w:rsidRPr="004D13C7">
        <w:t xml:space="preserve">Total liabilities were calculated as total assets minus net worth. Net worth to total assets was used in place of the standard retained earnings to total assets term because retained earnings </w:t>
      </w:r>
      <w:proofErr w:type="gramStart"/>
      <w:r w:rsidRPr="004D13C7">
        <w:t>was</w:t>
      </w:r>
      <w:proofErr w:type="gramEnd"/>
      <w:r w:rsidRPr="004D13C7">
        <w:t xml:space="preserve"> not available separately in the </w:t>
      </w:r>
      <w:proofErr w:type="spellStart"/>
      <w:r w:rsidRPr="004D13C7">
        <w:t>ProwessIQ</w:t>
      </w:r>
      <w:proofErr w:type="spellEnd"/>
      <w:r w:rsidRPr="004D13C7">
        <w:t xml:space="preserve"> data. This was therefore an adaptation of the original Altman model based on the available data and not the original textbook specification.</w:t>
      </w:r>
    </w:p>
    <w:p w14:paraId="37CD770B" w14:textId="77777777" w:rsidR="00A04B56" w:rsidRPr="004D13C7" w:rsidRDefault="00A04B56" w:rsidP="00A04B56">
      <w:pPr>
        <w:pStyle w:val="NormalWeb"/>
        <w:jc w:val="both"/>
      </w:pPr>
      <w:r w:rsidRPr="004D13C7">
        <w:t>The Springate S-score was calculated using its original formula without any changes:</w:t>
      </w:r>
    </w:p>
    <w:p w14:paraId="605CA781" w14:textId="77777777" w:rsidR="00A04B56" w:rsidRPr="004D13C7" w:rsidRDefault="00A04B56" w:rsidP="00A04B56">
      <w:pPr>
        <w:pStyle w:val="NormalWeb"/>
        <w:jc w:val="both"/>
      </w:pPr>
      <w:r w:rsidRPr="004D13C7">
        <w:rPr>
          <w:rStyle w:val="Strong"/>
        </w:rPr>
        <w:t>1.03 × (WC/TA) + 3.07 × (EBIT/TA) + 0.66 × (Profit Before Tax / Current Liabilities) + 0.40 × (Sales/TA)</w:t>
      </w:r>
    </w:p>
    <w:p w14:paraId="5D92D6C7" w14:textId="77777777" w:rsidR="00A04B56" w:rsidRPr="004D13C7" w:rsidRDefault="00A04B56" w:rsidP="00A04B56">
      <w:pPr>
        <w:pStyle w:val="NormalWeb"/>
        <w:jc w:val="both"/>
      </w:pPr>
      <w:r w:rsidRPr="004D13C7">
        <w:t>The four macroeconomic variables, GDP growth, WPI inflation, the Economic Policy Uncertainty Index, and the industry Weighted Average Lending Rate, were then added to the firm-level dataset. Since these variables represented economy-wide conditions for each financial year, they were matched with the firm-level data using the financial year. This ensured that every firm-year observation was linked with the relevant macroeconomic conditions for that year.</w:t>
      </w:r>
    </w:p>
    <w:p w14:paraId="6546851B" w14:textId="77777777" w:rsidR="00A04B56" w:rsidRPr="004D13C7" w:rsidRDefault="00A04B56" w:rsidP="00A04B56">
      <w:pPr>
        <w:pStyle w:val="NormalWeb"/>
        <w:jc w:val="both"/>
      </w:pPr>
      <w:r w:rsidRPr="004D13C7">
        <w:t xml:space="preserve">To reduce the effect of extreme values in the accounting data, the six continuous financial ratios were </w:t>
      </w:r>
      <w:proofErr w:type="spellStart"/>
      <w:r w:rsidRPr="004D13C7">
        <w:t>winsorized</w:t>
      </w:r>
      <w:proofErr w:type="spellEnd"/>
      <w:r w:rsidRPr="004D13C7">
        <w:t xml:space="preserve"> separately for each financial year, as shown in Table 3.1. Most ratios were capped at the 1st and 99th percentiles. The interest coverage ratio showed a wider and more skewed distribution and was therefore capped at the 2.5th and 97.5th percentiles. The </w:t>
      </w:r>
      <w:proofErr w:type="spellStart"/>
      <w:r w:rsidRPr="004D13C7">
        <w:t>winsorization</w:t>
      </w:r>
      <w:proofErr w:type="spellEnd"/>
      <w:r w:rsidRPr="004D13C7">
        <w:t xml:space="preserve"> reduced the influence of extreme observations without materially changing the central distribution of the data. For example, the pooled current ratio, which originally ranged from -143.2 to 2,686.0, was reduced to a range of 0.06 to 52.6 after </w:t>
      </w:r>
      <w:proofErr w:type="spellStart"/>
      <w:r w:rsidRPr="004D13C7">
        <w:t>winsorization</w:t>
      </w:r>
      <w:proofErr w:type="spellEnd"/>
      <w:r w:rsidRPr="004D13C7">
        <w:t>, while the median and interquartile range remained unchanged.</w:t>
      </w:r>
    </w:p>
    <w:p w14:paraId="1CD2A794" w14:textId="345797C5" w:rsidR="00BF3C9F" w:rsidRPr="004D13C7" w:rsidRDefault="00BF3C9F" w:rsidP="00A04B56">
      <w:pPr>
        <w:spacing w:after="200" w:line="276" w:lineRule="auto"/>
        <w:jc w:val="both"/>
      </w:pPr>
    </w:p>
    <w:sectPr w:rsidR="00BF3C9F" w:rsidRPr="004D13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56D47"/>
    <w:multiLevelType w:val="hybridMultilevel"/>
    <w:tmpl w:val="F672FDCA"/>
    <w:lvl w:ilvl="0" w:tplc="F4888CEA">
      <w:start w:val="1"/>
      <w:numFmt w:val="bullet"/>
      <w:lvlText w:val="●"/>
      <w:lvlJc w:val="left"/>
      <w:pPr>
        <w:ind w:left="720" w:hanging="360"/>
      </w:pPr>
    </w:lvl>
    <w:lvl w:ilvl="1" w:tplc="8CFC3DFE">
      <w:start w:val="1"/>
      <w:numFmt w:val="bullet"/>
      <w:lvlText w:val="○"/>
      <w:lvlJc w:val="left"/>
      <w:pPr>
        <w:ind w:left="1440" w:hanging="360"/>
      </w:pPr>
    </w:lvl>
    <w:lvl w:ilvl="2" w:tplc="C1FED55C">
      <w:start w:val="1"/>
      <w:numFmt w:val="bullet"/>
      <w:lvlText w:val="■"/>
      <w:lvlJc w:val="left"/>
      <w:pPr>
        <w:ind w:left="2160" w:hanging="360"/>
      </w:pPr>
    </w:lvl>
    <w:lvl w:ilvl="3" w:tplc="A56ED628">
      <w:start w:val="1"/>
      <w:numFmt w:val="bullet"/>
      <w:lvlText w:val="●"/>
      <w:lvlJc w:val="left"/>
      <w:pPr>
        <w:ind w:left="2880" w:hanging="360"/>
      </w:pPr>
    </w:lvl>
    <w:lvl w:ilvl="4" w:tplc="4D8451E2">
      <w:start w:val="1"/>
      <w:numFmt w:val="bullet"/>
      <w:lvlText w:val="○"/>
      <w:lvlJc w:val="left"/>
      <w:pPr>
        <w:ind w:left="3600" w:hanging="360"/>
      </w:pPr>
    </w:lvl>
    <w:lvl w:ilvl="5" w:tplc="BFD4AD52">
      <w:start w:val="1"/>
      <w:numFmt w:val="bullet"/>
      <w:lvlText w:val="■"/>
      <w:lvlJc w:val="left"/>
      <w:pPr>
        <w:ind w:left="4320" w:hanging="360"/>
      </w:pPr>
    </w:lvl>
    <w:lvl w:ilvl="6" w:tplc="AF643A88">
      <w:start w:val="1"/>
      <w:numFmt w:val="bullet"/>
      <w:lvlText w:val="●"/>
      <w:lvlJc w:val="left"/>
      <w:pPr>
        <w:ind w:left="5040" w:hanging="360"/>
      </w:pPr>
    </w:lvl>
    <w:lvl w:ilvl="7" w:tplc="C6EABBEE">
      <w:start w:val="1"/>
      <w:numFmt w:val="bullet"/>
      <w:lvlText w:val="●"/>
      <w:lvlJc w:val="left"/>
      <w:pPr>
        <w:ind w:left="5760" w:hanging="360"/>
      </w:pPr>
    </w:lvl>
    <w:lvl w:ilvl="8" w:tplc="33F468D8">
      <w:start w:val="1"/>
      <w:numFmt w:val="bullet"/>
      <w:lvlText w:val="●"/>
      <w:lvlJc w:val="left"/>
      <w:pPr>
        <w:ind w:left="6480" w:hanging="360"/>
      </w:pPr>
    </w:lvl>
  </w:abstractNum>
  <w:num w:numId="1" w16cid:durableId="1538002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9F"/>
    <w:rsid w:val="00237089"/>
    <w:rsid w:val="002B5CA2"/>
    <w:rsid w:val="004D13C7"/>
    <w:rsid w:val="004F234D"/>
    <w:rsid w:val="005E27C2"/>
    <w:rsid w:val="00615ED3"/>
    <w:rsid w:val="006A57F8"/>
    <w:rsid w:val="006C6F7B"/>
    <w:rsid w:val="006F277F"/>
    <w:rsid w:val="009B7CED"/>
    <w:rsid w:val="00A04B56"/>
    <w:rsid w:val="00AF6C74"/>
    <w:rsid w:val="00BF3C9F"/>
    <w:rsid w:val="00C73B5D"/>
    <w:rsid w:val="00F91995"/>
    <w:rsid w:val="00F9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DD36"/>
  <w15:docId w15:val="{64A35CF1-9057-4C4B-93D6-D38EE4136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93FD8"/>
    <w:pPr>
      <w:spacing w:before="100" w:beforeAutospacing="1" w:after="100" w:afterAutospacing="1"/>
    </w:pPr>
  </w:style>
  <w:style w:type="paragraph" w:styleId="NormalWeb">
    <w:name w:val="Normal (Web)"/>
    <w:basedOn w:val="Normal"/>
    <w:uiPriority w:val="99"/>
    <w:unhideWhenUsed/>
    <w:rsid w:val="00F93FD8"/>
    <w:pPr>
      <w:spacing w:before="100" w:beforeAutospacing="1" w:after="100" w:afterAutospacing="1"/>
    </w:pPr>
  </w:style>
  <w:style w:type="character" w:styleId="Strong">
    <w:name w:val="Strong"/>
    <w:basedOn w:val="DefaultParagraphFont"/>
    <w:uiPriority w:val="22"/>
    <w:qFormat/>
    <w:rsid w:val="00A04B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1287</TotalTime>
  <Pages>5</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Venkatesh Alur</cp:lastModifiedBy>
  <cp:revision>21</cp:revision>
  <dcterms:created xsi:type="dcterms:W3CDTF">2026-08-26T05:06:00Z</dcterms:created>
  <dcterms:modified xsi:type="dcterms:W3CDTF">2026-09-02T04:57:00Z</dcterms:modified>
</cp:coreProperties>
</file>