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jc w:val="center"/>
        <w:rPr>
          <w:b w:val="1"/>
          <w:bCs w:val="1"/>
          <w:sz w:val="24"/>
          <w:szCs w:val="24"/>
        </w:rPr>
      </w:pPr>
      <w:bookmarkStart w:colFirst="0" w:colLast="0" w:name="_asbpb12028n6" w:id="0"/>
      <w:bookmarkEnd w:id="0"/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Task 1: Adidas Case Study - OKRs (Objective Key Result)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z08d79k0duy1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1️⃣ Objective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Increase Adidas sales performance while maintaining strong profitability.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329363" cy="33432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302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p73k1j9swymx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2️⃣ Key Results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Key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KPI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Increase overall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Improve profitability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Operating Profit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Maintain healthy margins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Operating Margin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Grow digital sales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Online Sales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itwpgsri4h1j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3️⃣ How the Dashboard Tracks OKRs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KPI Cards</w:t>
      </w:r>
      <w:r w:rsidDel="00000000" w:rsidR="00000000" w:rsidRPr="00000000">
        <w:rPr>
          <w:sz w:val="24"/>
          <w:szCs w:val="24"/>
          <w:rtl w:val="0"/>
        </w:rPr>
        <w:t xml:space="preserve"> show overall progress on sales, profit, and online contribution.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Monthly Sales Trend (2020 vs 2021)</w:t>
      </w:r>
      <w:r w:rsidDel="00000000" w:rsidR="00000000" w:rsidRPr="00000000">
        <w:rPr>
          <w:sz w:val="24"/>
          <w:szCs w:val="24"/>
          <w:rtl w:val="0"/>
        </w:rPr>
        <w:t xml:space="preserve"> tracks year-over-year growth.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 &amp; Sales Method chart</w:t>
      </w:r>
      <w:r w:rsidDel="00000000" w:rsidR="00000000" w:rsidRPr="00000000">
        <w:rPr>
          <w:sz w:val="24"/>
          <w:szCs w:val="24"/>
          <w:rtl w:val="0"/>
        </w:rPr>
        <w:t xml:space="preserve"> identifies high-performing products and channels.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Retailer Margin chart</w:t>
      </w:r>
      <w:r w:rsidDel="00000000" w:rsidR="00000000" w:rsidRPr="00000000">
        <w:rPr>
          <w:sz w:val="24"/>
          <w:szCs w:val="24"/>
          <w:rtl w:val="0"/>
        </w:rPr>
        <w:t xml:space="preserve"> highlights retailers contributing the highest profitability.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Slicers</w:t>
      </w:r>
      <w:r w:rsidDel="00000000" w:rsidR="00000000" w:rsidRPr="00000000">
        <w:rPr>
          <w:sz w:val="24"/>
          <w:szCs w:val="24"/>
          <w:rtl w:val="0"/>
        </w:rPr>
        <w:t xml:space="preserve"> allow focused analysis by year, region, product, retailer, and channel.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ip0xur7wxc0x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4️⃣ Key Insights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Sales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2021 are significantly higher than 2020</w:t>
      </w:r>
      <w:r w:rsidDel="00000000" w:rsidR="00000000" w:rsidRPr="00000000">
        <w:rPr>
          <w:sz w:val="24"/>
          <w:szCs w:val="24"/>
          <w:rtl w:val="0"/>
        </w:rPr>
        <w:t xml:space="preserve">, indicating strong growth.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Men’s Street Footwear and Women’s Apparel</w:t>
      </w:r>
      <w:r w:rsidDel="00000000" w:rsidR="00000000" w:rsidRPr="00000000">
        <w:rPr>
          <w:sz w:val="24"/>
          <w:szCs w:val="24"/>
          <w:rtl w:val="0"/>
        </w:rPr>
        <w:t xml:space="preserve"> are top revenue drivers.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In-store sales dominate</w:t>
      </w:r>
      <w:r w:rsidDel="00000000" w:rsidR="00000000" w:rsidRPr="00000000">
        <w:rPr>
          <w:sz w:val="24"/>
          <w:szCs w:val="24"/>
          <w:rtl w:val="0"/>
        </w:rPr>
        <w:t xml:space="preserve">, but online sales show strong contribution.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Foot Locker and West Gear</w:t>
      </w:r>
      <w:r w:rsidDel="00000000" w:rsidR="00000000" w:rsidRPr="00000000">
        <w:rPr>
          <w:sz w:val="24"/>
          <w:szCs w:val="24"/>
          <w:rtl w:val="0"/>
        </w:rPr>
        <w:t xml:space="preserve"> generate the highest operating margins.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5️⃣ Success Factors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Clear, measurable KPIs aligned with business objectives.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Power BI enables continuous tracking of Key Results.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Data-driven identification of profitable products and retailers.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6️⃣ Challenges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dependence on in-store sales.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Profit margins vary across retailers.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Seasonal fluctuations affect monthly sales.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7️⃣ Conclusion 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OKR-driven Power BI dashboard helps Adidas monitor sales growth and profitability using measurable KPIs, enabling data-driven decision-making and strategic focus.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