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APPROVAL NOTE — TK-4102</w:t>
      </w:r>
    </w:p>
    <w:p>
      <w:r>
        <w:t>Ref: MRPL/INSP/2026/0412    MOC No: MOC-2026-0231</w:t>
      </w:r>
    </w:p>
    <w:p>
      <w:pPr>
        <w:pStyle w:val="Heading1"/>
      </w:pPr>
      <w:r>
        <w:t>Deviations</w:t>
      </w:r>
    </w:p>
    <w:p>
      <w:pPr>
        <w:pStyle w:val="ListBullet"/>
      </w:pPr>
      <w:r>
        <w:t>Shell plate thickness is 11.2 mm (below nominal 12.0 mm). Minimum required thickness per API 653 calculation is 10.4 mm, therefore the vessel remains fit for service until next turnaround.</w:t>
      </w:r>
    </w:p>
    <w:p>
      <w:pPr>
        <w:pStyle w:val="ListBullet"/>
      </w:pPr>
      <w:r>
        <w:t>PSV-2041 set at 12.5 barg against SOP-114 requirement of 14.0 barg. This is a non-conformance and must be corrected before restart.</w:t>
      </w:r>
    </w:p>
    <w:p>
      <w:pPr>
        <w:pStyle w:val="Heading1"/>
      </w:pPr>
      <w:r>
        <w:t>Decision</w:t>
      </w:r>
    </w:p>
    <w:p>
      <w:r>
        <w:t>Conditional approval granted for continued operation until 31-Mar-2027, subject to: (1) quarterly UT monitoring at course-1, (2) PSV reset within 14 days, (3) re-inspection before any change in service.</w:t>
      </w:r>
    </w:p>
    <w:p>
      <w:r>
        <w:t>Approved by: A. Deshpande, Head — Inspection    Date: 13-Sep-2026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