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SOP-1001 - Crude Train</w:t>
      </w:r>
    </w:p>
    <w:p>
      <w:r>
        <w:t>Revision 6    Owner: Inspection Department</w:t>
      </w:r>
    </w:p>
    <w:p>
      <w:pPr>
        <w:pStyle w:val="Heading1"/>
      </w:pPr>
      <w:r>
        <w:t>4. Relief</w:t>
      </w:r>
    </w:p>
    <w:p>
      <w:r>
        <w:t>Crude feed tank relief shall be set at 26.0 barg.</w:t>
      </w:r>
    </w:p>
    <w:p>
      <w:pPr>
        <w:pStyle w:val="Heading1"/>
      </w:pPr>
      <w:r>
        <w:t>9. Survey</w:t>
      </w:r>
    </w:p>
    <w:p>
      <w:r>
        <w:t>Any exchanger not surveyed in a campaign shall be scheduled within the following 6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