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DEVIATION APPROVAL DA-2026-114</w:t>
      </w:r>
    </w:p>
    <w:p>
      <w:r>
        <w:t>Ref: PSV-601    Approved: 02-Aug-2026</w:t>
      </w:r>
    </w:p>
    <w:p>
      <w:pPr>
        <w:pStyle w:val="ListBullet"/>
      </w:pPr>
      <w:r>
        <w:t>PSV-601 is approved to remain at 17.5 barg until the next turnaround on 31-Mar-2027. SOP-601 clause 4 requires 18.0 barg; this deviation is documented and approved by the Head of Inspection, and is therefore acceptable until that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