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SOP-114 — Pressure Relief Device Setting &amp; Testing</w:t>
      </w:r>
    </w:p>
    <w:p>
      <w:r>
        <w:t>Revision 6    Effective: 01-Jan-2026    Owner: Inspection Dept</w:t>
      </w:r>
    </w:p>
    <w:p>
      <w:pPr>
        <w:pStyle w:val="Heading1"/>
      </w:pPr>
      <w:r>
        <w:t>4. Set Pressure Requirements</w:t>
      </w:r>
    </w:p>
    <w:p>
      <w:r>
        <w:t>All safety relief valves protecting atmospheric storage tanks in CDU-II shall be set at 14.0 barg unless a documented deviation exists, approved by the Head of Inspection.</w:t>
      </w:r>
    </w:p>
    <w:p>
      <w:r>
        <w:t>Set pressure shall be verified by bench test at intervals not exceeding 24 months. Test records shall be retained for 10 years.</w:t>
      </w:r>
    </w:p>
    <w:p>
      <w:pPr>
        <w:pStyle w:val="Heading1"/>
      </w:pPr>
      <w:r>
        <w:t>5. Thickness Acceptance</w:t>
      </w:r>
    </w:p>
    <w:p>
      <w:r>
        <w:t>Minimum acceptable shell thickness shall be computed per API 653 Section 4.3. Measured thickness below nominal requires engineering evaluation but does not by itself constitute a rejection.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