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SOP-501 - Manifold Relief Settings</w:t>
      </w:r>
    </w:p>
    <w:p>
      <w:r>
        <w:t>Revision 6    Owner: Inspection Department</w:t>
      </w:r>
    </w:p>
    <w:p>
      <w:pPr>
        <w:pStyle w:val="Heading1"/>
      </w:pPr>
      <w:r>
        <w:t>4. Surge drum relief</w:t>
      </w:r>
    </w:p>
    <w:p>
      <w:r>
        <w:t>PSV protecting the surge drum shall be set at 15.0 barg.</w:t>
      </w:r>
    </w:p>
    <w:p>
      <w:pPr>
        <w:pStyle w:val="Heading1"/>
      </w:pPr>
      <w:r>
        <w:t>5. Cooler relief</w:t>
      </w:r>
    </w:p>
    <w:p>
      <w:r>
        <w:t>PSV protecting a trim cooler shall be set at 6.0 barg.</w:t>
      </w:r>
    </w:p>
    <w:p>
      <w:pPr>
        <w:pStyle w:val="Heading1"/>
      </w:pPr>
      <w:r>
        <w:t>8. Level</w:t>
      </w:r>
    </w:p>
    <w:p>
      <w:r>
        <w:t>Surge drum level shall not exceed 75 percent during transfer.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