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APPROVAL NOTE - TK-4102</w:t>
      </w:r>
    </w:p>
    <w:p>
      <w:r>
        <w:rPr>
          <w:i/>
        </w:rPr>
        <w:t>Conditional approval granted for continued operation until 31-Mar-2027.</w:t>
      </w:r>
    </w:p>
    <w:p>
      <w:r>
        <w:rPr>
          <w:color w:val="606060"/>
          <w:sz w:val="18"/>
        </w:rPr>
        <w:t xml:space="preserve">Ref: approval_note.docx    Date: 13-Sep-2026    Unit: </w:t>
      </w:r>
    </w:p>
    <w:p>
      <w:pPr>
        <w:pStyle w:val="Heading1"/>
      </w:pPr>
      <w:r>
        <w:t>Findings</w:t>
      </w:r>
    </w:p>
    <w:p>
      <w:pPr>
        <w:pStyle w:val="ListBullet"/>
      </w:pPr>
      <w:r>
        <w:t>Interim monitoring for TK-4102 (MB-2026-17) [1]</w:t>
      </w:r>
    </w:p>
    <w:p>
      <w:pPr>
        <w:pStyle w:val="ListBullet"/>
      </w:pPr>
      <w:r>
        <w:t>Quarterly UT monitoring at course-1 [2]</w:t>
      </w:r>
    </w:p>
    <w:p>
      <w:pPr>
        <w:pStyle w:val="ListBullet"/>
      </w:pPr>
      <w:r>
        <w:t>PSV reset within 14 days [3]</w:t>
      </w:r>
    </w:p>
    <w:p>
      <w:pPr>
        <w:pStyle w:val="ListBullet"/>
      </w:pPr>
      <w:r>
        <w:t>Re-inspection before any change in service [3]</w:t>
      </w:r>
    </w:p>
    <w:p>
      <w:pPr>
        <w:pStyle w:val="Heading1"/>
      </w:pPr>
      <w:r>
        <w:t>Assessment</w:t>
      </w:r>
    </w:p>
    <w:p>
      <w:r>
        <w:t>The equipment is permitted to continue operation under the specified conditions.</w:t>
      </w:r>
    </w:p>
    <w:p>
      <w:r>
        <w:t>All maintenance and inspection requirements outlined in the Maintenance Bulletin MB-2026-17 are satisfied.</w:t>
      </w:r>
    </w:p>
    <w:p>
      <w:pPr>
        <w:pStyle w:val="Heading1"/>
      </w:pPr>
      <w:r>
        <w:t>Measurements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Quarterly UT monitoring at course-1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At course-1</w:t>
            </w:r>
          </w:p>
        </w:tc>
      </w:tr>
      <w:tr>
        <w:tc>
          <w:tcPr>
            <w:tcW w:type="dxa" w:w="2880"/>
          </w:tcPr>
          <w:p>
            <w:r>
              <w:t>PSV reset</w:t>
            </w:r>
          </w:p>
        </w:tc>
        <w:tc>
          <w:tcPr>
            <w:tcW w:type="dxa" w:w="2880"/>
          </w:tcPr>
          <w:p>
            <w:r>
              <w:t>Within 14 days</w:t>
            </w:r>
          </w:p>
        </w:tc>
        <w:tc>
          <w:tcPr>
            <w:tcW w:type="dxa" w:w="2880"/>
          </w:tcPr>
          <w:p>
            <w:r>
              <w:t>Within 14 days</w:t>
            </w:r>
          </w:p>
        </w:tc>
      </w:tr>
      <w:tr>
        <w:tc>
          <w:tcPr>
            <w:tcW w:type="dxa" w:w="2880"/>
          </w:tcPr>
          <w:p>
            <w:r>
              <w:t>Re-inspection</w:t>
            </w:r>
          </w:p>
        </w:tc>
        <w:tc>
          <w:tcPr>
            <w:tcW w:type="dxa" w:w="2880"/>
          </w:tcPr>
          <w:p>
            <w:r>
              <w:t>Before any change in service</w:t>
            </w:r>
          </w:p>
        </w:tc>
        <w:tc>
          <w:tcPr>
            <w:tcW w:type="dxa" w:w="2880"/>
          </w:tcPr>
          <w:p>
            <w:r>
              <w:t>Before any change in service</w:t>
            </w:r>
          </w:p>
        </w:tc>
      </w:tr>
    </w:tbl>
    <w:p>
      <w:pPr>
        <w:pStyle w:val="Heading1"/>
      </w:pPr>
      <w:r>
        <w:t>Decision</w:t>
      </w:r>
    </w:p>
    <w:p>
      <w:r>
        <w:rPr>
          <w:b/>
        </w:rPr>
        <w:t>Conditional approval granted for continued operation until 31-Mar-2027, subject to quarterly UT monitoring at course-1, PSV reset within 14 days, and re-inspection before any change in service.</w:t>
      </w:r>
    </w:p>
    <w:p>
      <w:r>
        <w:t>Prepared by: Sovereign Workbench</w:t>
      </w:r>
    </w:p>
    <w:p>
      <w:r>
        <w:t>Approved by: A. Deshpande, Head — Inspection</w:t>
      </w:r>
    </w:p>
    <w:p>
      <w:r>
        <w:br w:type="page"/>
      </w:r>
    </w:p>
    <w:p>
      <w:pPr>
        <w:pStyle w:val="Heading1"/>
      </w:pPr>
      <w:r>
        <w:t>Sources</w:t>
      </w:r>
    </w:p>
    <w:p>
      <w:r>
        <w:rPr>
          <w:i/>
          <w:sz w:val="18"/>
        </w:rPr>
        <w:t>Generated by Sovereign Workbench from the indexed corpus. Every finding is traceable to the source listed below.</w:t>
      </w:r>
    </w:p>
    <w:p>
      <w:pPr>
        <w:pStyle w:val="ListNumber"/>
      </w:pPr>
      <w:r>
        <w:rPr>
          <w:sz w:val="18"/>
        </w:rPr>
        <w:t>[1] maintenance_bulletin.md (—) · Maintenance Bulletin MB-2026-17</w:t>
      </w:r>
    </w:p>
    <w:p>
      <w:pPr>
        <w:pStyle w:val="ListNumber"/>
      </w:pPr>
      <w:r>
        <w:rPr>
          <w:sz w:val="18"/>
        </w:rPr>
        <w:t>[2] APPROVAL_NOTE_-_TK-4102_20260913_220911.docx (—) · APPROVAL NOTE - TK-4102</w:t>
      </w:r>
    </w:p>
    <w:p>
      <w:pPr>
        <w:pStyle w:val="ListNumber"/>
      </w:pPr>
      <w:r>
        <w:rPr>
          <w:sz w:val="18"/>
        </w:rPr>
        <w:t>[3] APPROVAL_NOTE_-_TK-4102_20260913_220911.docx (—) · APPROVAL NOTE - TK-4102 &gt; Decision</w:t>
      </w:r>
    </w:p>
    <w:p>
      <w:pPr>
        <w:pStyle w:val="ListNumber"/>
      </w:pPr>
      <w:r>
        <w:rPr>
          <w:sz w:val="18"/>
        </w:rPr>
        <w:t>[4] APPROVAL_NOTE_-_TK-4102_20260913_220911.docx (—) · APPROVAL NOTE - TK-4102 &gt;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