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72A" w:rsidRDefault="00E72A66" w:rsidP="00E72A66">
      <w:pPr>
        <w:pStyle w:val="Heading1"/>
      </w:pPr>
      <w:proofErr w:type="gramStart"/>
      <w:r>
        <w:t>FACTBOOK :</w:t>
      </w:r>
      <w:proofErr w:type="gramEnd"/>
      <w:r>
        <w:t>: Kronos</w:t>
      </w:r>
      <w:r w:rsidR="0062644B">
        <w:t xml:space="preserve"> </w:t>
      </w:r>
    </w:p>
    <w:p w:rsidR="00E72A66" w:rsidRDefault="00E72A66" w:rsidP="00E72A66">
      <w:pPr>
        <w:pStyle w:val="Heading2"/>
      </w:pPr>
      <w:r>
        <w:t>Introduction</w:t>
      </w:r>
    </w:p>
    <w:p w:rsidR="00B16B17" w:rsidRDefault="00B16B17" w:rsidP="00B16B17">
      <w:pPr>
        <w:pStyle w:val="Heading3"/>
      </w:pPr>
      <w:r>
        <w:t>Background:</w:t>
      </w:r>
    </w:p>
    <w:p w:rsidR="00B16B17" w:rsidRPr="00B16B17" w:rsidRDefault="00791BB4" w:rsidP="00B16B17">
      <w:r>
        <w:t xml:space="preserve">Kronos </w:t>
      </w:r>
      <w:r w:rsidR="00BD37E0">
        <w:t>was variously settled by the peoples of the Levant as far back as the Phoenicians</w:t>
      </w:r>
      <w:r w:rsidR="008F6C0B">
        <w:t>, but avoided attempts at colonization by the British and French</w:t>
      </w:r>
      <w:r w:rsidR="00BD37E0">
        <w:t xml:space="preserve">. The island’s economy has been dominated by three main industries. Agriculture has long dominated the local economy with most </w:t>
      </w:r>
      <w:proofErr w:type="spellStart"/>
      <w:r w:rsidR="00BD37E0">
        <w:t>Kron</w:t>
      </w:r>
      <w:r w:rsidR="002A59F4">
        <w:t>i</w:t>
      </w:r>
      <w:r w:rsidR="00BD37E0">
        <w:t>sians</w:t>
      </w:r>
      <w:proofErr w:type="spellEnd"/>
      <w:r w:rsidR="00BD37E0">
        <w:t xml:space="preserve"> supporting themselves through small-scale farming. Recently the timber industry has taken off; however, deforestation is a real threat</w:t>
      </w:r>
      <w:r w:rsidR="008F6C0B">
        <w:t xml:space="preserve">. With the discovery of massive natural gas fields in 1994, the </w:t>
      </w:r>
      <w:proofErr w:type="spellStart"/>
      <w:r w:rsidR="008F6C0B">
        <w:t>Kron</w:t>
      </w:r>
      <w:r w:rsidR="002A59F4">
        <w:t>i</w:t>
      </w:r>
      <w:r w:rsidR="008F6C0B">
        <w:t>sian</w:t>
      </w:r>
      <w:proofErr w:type="spellEnd"/>
      <w:r w:rsidR="008F6C0B">
        <w:t xml:space="preserve"> economy has been booming. Despite the recent economic boom, many people still face deep poverty.  </w:t>
      </w:r>
      <w:r w:rsidR="00BD37E0">
        <w:t xml:space="preserve"> </w:t>
      </w:r>
    </w:p>
    <w:p w:rsidR="00E72A66" w:rsidRDefault="00E72A66" w:rsidP="00E72A66">
      <w:pPr>
        <w:pStyle w:val="Heading2"/>
      </w:pPr>
      <w:r>
        <w:t>Geography</w:t>
      </w:r>
    </w:p>
    <w:p w:rsidR="003B32F6" w:rsidRDefault="003B32F6" w:rsidP="003B32F6">
      <w:pPr>
        <w:pStyle w:val="Heading3"/>
      </w:pPr>
      <w:r>
        <w:t>Location:</w:t>
      </w:r>
    </w:p>
    <w:p w:rsidR="003B32F6" w:rsidRDefault="003B32F6" w:rsidP="003B32F6">
      <w:r>
        <w:t>Middle East, island in the Mediterranean Sea, north of Egypt</w:t>
      </w:r>
    </w:p>
    <w:p w:rsidR="003B32F6" w:rsidRDefault="00092BFF" w:rsidP="003B32F6">
      <w:pPr>
        <w:pStyle w:val="Heading3"/>
      </w:pPr>
      <w:r>
        <w:t>Maritime c</w:t>
      </w:r>
      <w:r w:rsidR="003B32F6">
        <w:t>laims:</w:t>
      </w:r>
    </w:p>
    <w:p w:rsidR="003B32F6" w:rsidRDefault="003B32F6" w:rsidP="003B32F6">
      <w:r>
        <w:t>Territorial sea: 12 nm</w:t>
      </w:r>
    </w:p>
    <w:p w:rsidR="003B32F6" w:rsidRDefault="003B32F6" w:rsidP="003B32F6">
      <w:r>
        <w:t>Contiguous zone: 24 nm</w:t>
      </w:r>
    </w:p>
    <w:p w:rsidR="003B32F6" w:rsidRDefault="003B32F6" w:rsidP="003B32F6">
      <w:r>
        <w:t>Continental shelf: 200 m depth or to the depth of exploitation</w:t>
      </w:r>
    </w:p>
    <w:p w:rsidR="003B32F6" w:rsidRDefault="003B32F6" w:rsidP="003B32F6">
      <w:pPr>
        <w:pStyle w:val="Heading3"/>
      </w:pPr>
      <w:r>
        <w:t>Climate:</w:t>
      </w:r>
    </w:p>
    <w:p w:rsidR="003B32F6" w:rsidRDefault="003B32F6" w:rsidP="003B32F6">
      <w:r>
        <w:t>Temperate; Mediterranean with hot dry summers and cool winters</w:t>
      </w:r>
    </w:p>
    <w:p w:rsidR="003B32F6" w:rsidRDefault="003B32F6" w:rsidP="003B32F6">
      <w:pPr>
        <w:pStyle w:val="Heading3"/>
      </w:pPr>
      <w:r>
        <w:t>Terrain:</w:t>
      </w:r>
    </w:p>
    <w:p w:rsidR="003B32F6" w:rsidRDefault="00092BFF" w:rsidP="003B32F6">
      <w:r>
        <w:t xml:space="preserve">Northern plain with mountains to the south </w:t>
      </w:r>
    </w:p>
    <w:p w:rsidR="00092BFF" w:rsidRDefault="00092BFF" w:rsidP="00092BFF">
      <w:pPr>
        <w:pStyle w:val="Heading3"/>
      </w:pPr>
      <w:r>
        <w:t>Elevation extremes:</w:t>
      </w:r>
    </w:p>
    <w:p w:rsidR="00092BFF" w:rsidRDefault="00092BFF" w:rsidP="00092BFF">
      <w:r>
        <w:t>Lowest point: Mediterranean Sea 0 m</w:t>
      </w:r>
    </w:p>
    <w:p w:rsidR="00092BFF" w:rsidRDefault="00092BFF" w:rsidP="00092BFF">
      <w:r>
        <w:t xml:space="preserve">Highest point: Mount </w:t>
      </w:r>
      <w:proofErr w:type="spellStart"/>
      <w:r>
        <w:t>Bouvo</w:t>
      </w:r>
      <w:proofErr w:type="spellEnd"/>
      <w:r>
        <w:t xml:space="preserve"> </w:t>
      </w:r>
      <w:r w:rsidR="00D7265B">
        <w:t>1544</w:t>
      </w:r>
      <w:r>
        <w:t xml:space="preserve"> m</w:t>
      </w:r>
    </w:p>
    <w:p w:rsidR="00092BFF" w:rsidRDefault="00092BFF" w:rsidP="00092BFF">
      <w:pPr>
        <w:pStyle w:val="Heading3"/>
      </w:pPr>
      <w:r>
        <w:t>Natural resources:</w:t>
      </w:r>
    </w:p>
    <w:p w:rsidR="00092BFF" w:rsidRDefault="00A62094" w:rsidP="00092BFF">
      <w:r>
        <w:t>Natural gas, copper, pyrites, timber, salt</w:t>
      </w:r>
      <w:r w:rsidR="00D21104">
        <w:t>, arable land</w:t>
      </w:r>
    </w:p>
    <w:p w:rsidR="00D21104" w:rsidRDefault="00D21104" w:rsidP="00D21104">
      <w:pPr>
        <w:pStyle w:val="Heading3"/>
      </w:pPr>
      <w:r>
        <w:t>Land use:</w:t>
      </w:r>
    </w:p>
    <w:p w:rsidR="00D21104" w:rsidRDefault="00D21104" w:rsidP="00D21104">
      <w:r>
        <w:t>Arable land: 29.3%</w:t>
      </w:r>
    </w:p>
    <w:p w:rsidR="00D21104" w:rsidRDefault="00D21104" w:rsidP="00D21104">
      <w:r>
        <w:t>Permanent crops: 5.4%</w:t>
      </w:r>
    </w:p>
    <w:p w:rsidR="00D21104" w:rsidRDefault="00D21104" w:rsidP="00D21104">
      <w:r>
        <w:t>Other: 65.3%</w:t>
      </w:r>
    </w:p>
    <w:p w:rsidR="00D21104" w:rsidRDefault="00D21104" w:rsidP="00D21104">
      <w:pPr>
        <w:pStyle w:val="Heading3"/>
      </w:pPr>
      <w:r>
        <w:t>Irrigated land:</w:t>
      </w:r>
    </w:p>
    <w:p w:rsidR="00D21104" w:rsidRDefault="00996AB3" w:rsidP="00D21104">
      <w:r>
        <w:t xml:space="preserve">45 </w:t>
      </w:r>
      <w:proofErr w:type="spellStart"/>
      <w:r>
        <w:t>sq</w:t>
      </w:r>
      <w:proofErr w:type="spellEnd"/>
      <w:r>
        <w:t xml:space="preserve"> km</w:t>
      </w:r>
    </w:p>
    <w:p w:rsidR="00996AB3" w:rsidRDefault="00996AB3" w:rsidP="00996AB3">
      <w:pPr>
        <w:pStyle w:val="Heading3"/>
      </w:pPr>
      <w:r>
        <w:t>Environment – current issues:</w:t>
      </w:r>
    </w:p>
    <w:p w:rsidR="00996AB3" w:rsidRDefault="00996AB3" w:rsidP="00996AB3">
      <w:r>
        <w:t xml:space="preserve">Natural gas pollution – water and soil; has suffered serious damage from </w:t>
      </w:r>
      <w:r w:rsidR="00EB02BC">
        <w:t>hyper acidic substrate removal</w:t>
      </w:r>
      <w:r>
        <w:t>; loss of arable land</w:t>
      </w:r>
      <w:r w:rsidR="00791BB4">
        <w:t>; deforestation</w:t>
      </w:r>
    </w:p>
    <w:p w:rsidR="00AB0889" w:rsidRDefault="00AB0889" w:rsidP="00AB0889">
      <w:pPr>
        <w:pStyle w:val="Heading3"/>
      </w:pPr>
      <w:r>
        <w:t>Environment – international agreements:</w:t>
      </w:r>
    </w:p>
    <w:p w:rsidR="00AB0889" w:rsidRPr="00AB0889" w:rsidRDefault="00AB0889" w:rsidP="00AB0889">
      <w:pPr>
        <w:rPr>
          <w:b/>
          <w:bCs/>
        </w:rPr>
      </w:pPr>
      <w:r w:rsidRPr="00AB0889">
        <w:rPr>
          <w:b/>
          <w:bCs/>
        </w:rPr>
        <w:t>Party to: </w:t>
      </w:r>
      <w:r w:rsidRPr="00AB0889">
        <w:t>Biodiversity, Desertification, Endangered Species, Law of the Sea, Ozone Layer Protection</w:t>
      </w:r>
    </w:p>
    <w:p w:rsidR="00AB0889" w:rsidRPr="00AB0889" w:rsidRDefault="00AB0889" w:rsidP="00AB0889">
      <w:pPr>
        <w:rPr>
          <w:b/>
          <w:bCs/>
        </w:rPr>
      </w:pPr>
      <w:r w:rsidRPr="00AB0889">
        <w:rPr>
          <w:b/>
          <w:bCs/>
        </w:rPr>
        <w:lastRenderedPageBreak/>
        <w:t>Signed, but not ratified: </w:t>
      </w:r>
      <w:r w:rsidRPr="00AB0889">
        <w:t>none of the selected agreements</w:t>
      </w:r>
    </w:p>
    <w:p w:rsidR="00AB0889" w:rsidRPr="00AB0889" w:rsidRDefault="00AB0889" w:rsidP="00AB0889"/>
    <w:p w:rsidR="00D7265B" w:rsidRDefault="00D7265B" w:rsidP="00D7265B">
      <w:pPr>
        <w:pStyle w:val="Heading3"/>
      </w:pPr>
      <w:r>
        <w:t>Geography – note:</w:t>
      </w:r>
    </w:p>
    <w:p w:rsidR="00D7265B" w:rsidRPr="00D7265B" w:rsidRDefault="00D7265B" w:rsidP="00D7265B">
      <w:r>
        <w:t xml:space="preserve">The </w:t>
      </w:r>
      <w:r w:rsidR="00852307">
        <w:t>Tiskele</w:t>
      </w:r>
      <w:r>
        <w:t xml:space="preserve"> River runs north from its headwate</w:t>
      </w:r>
      <w:r w:rsidR="00EB02BC">
        <w:t xml:space="preserve">rs in the </w:t>
      </w:r>
      <w:proofErr w:type="spellStart"/>
      <w:r w:rsidR="00EB02BC">
        <w:t>Notios</w:t>
      </w:r>
      <w:proofErr w:type="spellEnd"/>
      <w:r w:rsidR="00EB02BC">
        <w:t xml:space="preserve"> Mountain Range.</w:t>
      </w:r>
      <w:bookmarkStart w:id="0" w:name="_GoBack"/>
      <w:bookmarkEnd w:id="0"/>
    </w:p>
    <w:p w:rsidR="00E72A66" w:rsidRDefault="00E72A66" w:rsidP="00E72A66">
      <w:pPr>
        <w:pStyle w:val="Heading2"/>
      </w:pPr>
      <w:r>
        <w:t>People and Society</w:t>
      </w:r>
    </w:p>
    <w:p w:rsidR="00E72A66" w:rsidRDefault="00E72A66" w:rsidP="00E72A66">
      <w:pPr>
        <w:pStyle w:val="Heading3"/>
      </w:pPr>
      <w:r>
        <w:t>Nationality:</w:t>
      </w:r>
    </w:p>
    <w:p w:rsidR="00E72A66" w:rsidRDefault="00E72A66" w:rsidP="00E72A66">
      <w:r w:rsidRPr="008C1F82">
        <w:rPr>
          <w:b/>
        </w:rPr>
        <w:t>Noun:</w:t>
      </w:r>
      <w:r>
        <w:t xml:space="preserve"> </w:t>
      </w:r>
      <w:proofErr w:type="spellStart"/>
      <w:r>
        <w:t>Kron</w:t>
      </w:r>
      <w:r w:rsidR="002A59F4">
        <w:t>i</w:t>
      </w:r>
      <w:r>
        <w:t>sian</w:t>
      </w:r>
      <w:proofErr w:type="spellEnd"/>
      <w:r>
        <w:t>(s)</w:t>
      </w:r>
    </w:p>
    <w:p w:rsidR="00E72A66" w:rsidRDefault="00E72A66" w:rsidP="00E72A66">
      <w:r w:rsidRPr="008C1F82">
        <w:rPr>
          <w:b/>
        </w:rPr>
        <w:t>Adjective:</w:t>
      </w:r>
      <w:r>
        <w:t xml:space="preserve"> </w:t>
      </w:r>
      <w:proofErr w:type="spellStart"/>
      <w:r>
        <w:t>Kron</w:t>
      </w:r>
      <w:r w:rsidR="002A59F4">
        <w:t>i</w:t>
      </w:r>
      <w:r>
        <w:t>sian</w:t>
      </w:r>
      <w:proofErr w:type="spellEnd"/>
    </w:p>
    <w:p w:rsidR="00E72A66" w:rsidRDefault="00E72A66" w:rsidP="00E72A66">
      <w:pPr>
        <w:pStyle w:val="Heading3"/>
      </w:pPr>
      <w:r>
        <w:t>Ethnic groups:</w:t>
      </w:r>
    </w:p>
    <w:p w:rsidR="007C6B4F" w:rsidRPr="007C6B4F" w:rsidRDefault="007C6B4F" w:rsidP="007C6B4F">
      <w:proofErr w:type="spellStart"/>
      <w:r>
        <w:t>Kron</w:t>
      </w:r>
      <w:r w:rsidR="002A59F4">
        <w:t>i</w:t>
      </w:r>
      <w:r>
        <w:t>sian</w:t>
      </w:r>
      <w:proofErr w:type="spellEnd"/>
      <w:r>
        <w:t xml:space="preserve"> (descendants of ancient Egyptians, Carthaginians, and Phoenicians with strong elements of other Mediterranean stock)</w:t>
      </w:r>
    </w:p>
    <w:p w:rsidR="00E72A66" w:rsidRDefault="00E72A66" w:rsidP="00E72A66">
      <w:pPr>
        <w:pStyle w:val="Heading3"/>
      </w:pPr>
      <w:r>
        <w:t>Languages:</w:t>
      </w:r>
    </w:p>
    <w:p w:rsidR="007C6B4F" w:rsidRPr="007C6B4F" w:rsidRDefault="007C6B4F" w:rsidP="007C6B4F">
      <w:proofErr w:type="spellStart"/>
      <w:r>
        <w:t>Kron</w:t>
      </w:r>
      <w:r w:rsidR="002A59F4">
        <w:t>i</w:t>
      </w:r>
      <w:r>
        <w:t>sian</w:t>
      </w:r>
      <w:proofErr w:type="spellEnd"/>
      <w:r>
        <w:t xml:space="preserve"> (official)</w:t>
      </w:r>
    </w:p>
    <w:p w:rsidR="00E72A66" w:rsidRDefault="00E72A66" w:rsidP="00E72A66">
      <w:pPr>
        <w:pStyle w:val="Heading3"/>
      </w:pPr>
      <w:r>
        <w:t>Population:</w:t>
      </w:r>
    </w:p>
    <w:p w:rsidR="00F4035D" w:rsidRPr="00F4035D" w:rsidRDefault="00967E34" w:rsidP="00F4035D">
      <w:r>
        <w:t>783</w:t>
      </w:r>
      <w:r w:rsidR="00F4035D">
        <w:t xml:space="preserve">,305 (July 2013 </w:t>
      </w:r>
      <w:proofErr w:type="gramStart"/>
      <w:r w:rsidR="00F4035D">
        <w:t>est</w:t>
      </w:r>
      <w:proofErr w:type="gramEnd"/>
      <w:r w:rsidR="00F4035D">
        <w:t>.)</w:t>
      </w:r>
    </w:p>
    <w:p w:rsidR="00E72A66" w:rsidRDefault="00E72A66" w:rsidP="00E72A66">
      <w:pPr>
        <w:pStyle w:val="Heading3"/>
      </w:pPr>
      <w:r>
        <w:t>Age structure:</w:t>
      </w:r>
    </w:p>
    <w:p w:rsidR="00E72A66" w:rsidRPr="00E72A66" w:rsidRDefault="00E72A66" w:rsidP="00E72A66">
      <w:r w:rsidRPr="00E72A66">
        <w:rPr>
          <w:b/>
        </w:rPr>
        <w:t>0-14 years:</w:t>
      </w:r>
      <w:r>
        <w:rPr>
          <w:b/>
        </w:rPr>
        <w:t xml:space="preserve"> </w:t>
      </w:r>
      <w:r w:rsidR="00084B86">
        <w:t>34.5</w:t>
      </w:r>
      <w:r>
        <w:t>%</w:t>
      </w:r>
    </w:p>
    <w:p w:rsidR="00E72A66" w:rsidRPr="00E72A66" w:rsidRDefault="00E72A66" w:rsidP="00E72A66">
      <w:r w:rsidRPr="00E72A66">
        <w:rPr>
          <w:b/>
        </w:rPr>
        <w:t>15-24 years:</w:t>
      </w:r>
      <w:r>
        <w:rPr>
          <w:b/>
        </w:rPr>
        <w:t xml:space="preserve"> </w:t>
      </w:r>
      <w:r>
        <w:t>22</w:t>
      </w:r>
      <w:r w:rsidR="00084B86">
        <w:t>.3</w:t>
      </w:r>
      <w:r>
        <w:t>%</w:t>
      </w:r>
    </w:p>
    <w:p w:rsidR="00E72A66" w:rsidRPr="00E72A66" w:rsidRDefault="00E72A66" w:rsidP="00E72A66">
      <w:r w:rsidRPr="00E72A66">
        <w:rPr>
          <w:b/>
        </w:rPr>
        <w:t>25-54 years:</w:t>
      </w:r>
      <w:r>
        <w:rPr>
          <w:b/>
        </w:rPr>
        <w:t xml:space="preserve"> </w:t>
      </w:r>
      <w:r w:rsidR="00084B86">
        <w:t>30.4</w:t>
      </w:r>
      <w:r>
        <w:t>%</w:t>
      </w:r>
    </w:p>
    <w:p w:rsidR="00E72A66" w:rsidRPr="00E72A66" w:rsidRDefault="00E72A66" w:rsidP="00E72A66">
      <w:r w:rsidRPr="00E72A66">
        <w:rPr>
          <w:b/>
        </w:rPr>
        <w:t>55-64 years:</w:t>
      </w:r>
      <w:r>
        <w:rPr>
          <w:b/>
        </w:rPr>
        <w:t xml:space="preserve"> </w:t>
      </w:r>
      <w:r>
        <w:t>5.6%</w:t>
      </w:r>
    </w:p>
    <w:p w:rsidR="00E72A66" w:rsidRDefault="00E72A66" w:rsidP="00E72A66">
      <w:r w:rsidRPr="00E72A66">
        <w:rPr>
          <w:b/>
        </w:rPr>
        <w:t>65 years and over:</w:t>
      </w:r>
      <w:r>
        <w:rPr>
          <w:b/>
        </w:rPr>
        <w:t xml:space="preserve"> </w:t>
      </w:r>
      <w:r>
        <w:t>7.</w:t>
      </w:r>
      <w:r w:rsidR="00084B86">
        <w:t>2</w:t>
      </w:r>
      <w:r>
        <w:t>%</w:t>
      </w:r>
    </w:p>
    <w:p w:rsidR="00DF1EC6" w:rsidRDefault="00DF1EC6" w:rsidP="00DF1EC6">
      <w:pPr>
        <w:pStyle w:val="Heading3"/>
      </w:pPr>
      <w:r>
        <w:t>Median age:</w:t>
      </w:r>
    </w:p>
    <w:p w:rsidR="00DF1EC6" w:rsidRDefault="00DF1EC6" w:rsidP="00DF1EC6">
      <w:r w:rsidRPr="008C1F82">
        <w:rPr>
          <w:b/>
        </w:rPr>
        <w:t>Total:</w:t>
      </w:r>
      <w:r>
        <w:t xml:space="preserve"> 20.2</w:t>
      </w:r>
    </w:p>
    <w:p w:rsidR="00DF1EC6" w:rsidRDefault="00DF1EC6" w:rsidP="00DF1EC6">
      <w:r w:rsidRPr="008C1F82">
        <w:rPr>
          <w:b/>
        </w:rPr>
        <w:t>Male:</w:t>
      </w:r>
      <w:r w:rsidR="00F4035D">
        <w:t xml:space="preserve"> 19.7</w:t>
      </w:r>
      <w:r>
        <w:t xml:space="preserve"> </w:t>
      </w:r>
    </w:p>
    <w:p w:rsidR="008C1F82" w:rsidRDefault="00DF1EC6" w:rsidP="00295DBD">
      <w:r w:rsidRPr="008C1F82">
        <w:rPr>
          <w:b/>
        </w:rPr>
        <w:t>Female:</w:t>
      </w:r>
      <w:r w:rsidR="00F4035D">
        <w:t xml:space="preserve"> 20.7</w:t>
      </w:r>
    </w:p>
    <w:p w:rsidR="00295DBD" w:rsidRDefault="00295DBD" w:rsidP="00295DBD">
      <w:pPr>
        <w:pStyle w:val="Heading3"/>
      </w:pPr>
      <w:r>
        <w:t>Major urban areas – population:</w:t>
      </w:r>
    </w:p>
    <w:p w:rsidR="00295DBD" w:rsidRDefault="00295DBD" w:rsidP="00295DBD">
      <w:r>
        <w:t>A</w:t>
      </w:r>
      <w:r w:rsidR="00967E34">
        <w:t>BILA (capital) 2</w:t>
      </w:r>
      <w:r>
        <w:t>33,900 (2011)</w:t>
      </w:r>
    </w:p>
    <w:p w:rsidR="00295DBD" w:rsidRDefault="00295DBD" w:rsidP="00295DBD">
      <w:pPr>
        <w:pStyle w:val="Heading2"/>
      </w:pPr>
      <w:r>
        <w:t>Economy</w:t>
      </w:r>
    </w:p>
    <w:p w:rsidR="00295DBD" w:rsidRDefault="00295DBD" w:rsidP="00295DBD">
      <w:pPr>
        <w:pStyle w:val="Heading3"/>
      </w:pPr>
      <w:r>
        <w:t>Economy – overview:</w:t>
      </w:r>
    </w:p>
    <w:p w:rsidR="004F1052" w:rsidRPr="004F1052" w:rsidRDefault="004F1052" w:rsidP="004F1052">
      <w:r>
        <w:t xml:space="preserve">Kronos – traditionally an agrarian culture – has pivoted toward energy, specifically natural gas and financial services. As a result of </w:t>
      </w:r>
      <w:r w:rsidR="003E290A">
        <w:t xml:space="preserve">corruption and </w:t>
      </w:r>
      <w:r>
        <w:t xml:space="preserve">poor government planning, </w:t>
      </w:r>
      <w:r w:rsidR="003E290A">
        <w:t xml:space="preserve">many </w:t>
      </w:r>
      <w:proofErr w:type="spellStart"/>
      <w:r>
        <w:t>Kron</w:t>
      </w:r>
      <w:r w:rsidR="002A59F4">
        <w:t>i</w:t>
      </w:r>
      <w:r>
        <w:t>sians</w:t>
      </w:r>
      <w:proofErr w:type="spellEnd"/>
      <w:r>
        <w:t xml:space="preserve"> have </w:t>
      </w:r>
      <w:r w:rsidR="00F35965">
        <w:t>struggled</w:t>
      </w:r>
      <w:r>
        <w:t xml:space="preserve"> to make the transition with unemployment hovering around 24% and 70% at or below the poverty line. </w:t>
      </w:r>
    </w:p>
    <w:p w:rsidR="00D76FE5" w:rsidRDefault="00D76FE5" w:rsidP="00D76FE5">
      <w:pPr>
        <w:pStyle w:val="Heading3"/>
      </w:pPr>
      <w:r>
        <w:t>GDP – composition, by sector of origin:</w:t>
      </w:r>
    </w:p>
    <w:p w:rsidR="00D76FE5" w:rsidRDefault="00D76FE5" w:rsidP="00D76FE5">
      <w:r w:rsidRPr="00D76FE5">
        <w:rPr>
          <w:b/>
        </w:rPr>
        <w:t>Agriculture:</w:t>
      </w:r>
      <w:r>
        <w:t xml:space="preserve"> 34.6%</w:t>
      </w:r>
    </w:p>
    <w:p w:rsidR="00D76FE5" w:rsidRDefault="00D76FE5" w:rsidP="00D76FE5">
      <w:r w:rsidRPr="00D76FE5">
        <w:rPr>
          <w:b/>
        </w:rPr>
        <w:t>Industry:</w:t>
      </w:r>
      <w:r>
        <w:t xml:space="preserve"> 43%</w:t>
      </w:r>
    </w:p>
    <w:p w:rsidR="00D76FE5" w:rsidRPr="00D76FE5" w:rsidRDefault="00D76FE5" w:rsidP="00D76FE5">
      <w:r w:rsidRPr="00D76FE5">
        <w:rPr>
          <w:b/>
        </w:rPr>
        <w:t>Services:</w:t>
      </w:r>
      <w:r>
        <w:t xml:space="preserve"> 22.4%</w:t>
      </w:r>
    </w:p>
    <w:p w:rsidR="00295DBD" w:rsidRDefault="00AA215B" w:rsidP="00AA215B">
      <w:pPr>
        <w:pStyle w:val="Heading3"/>
      </w:pPr>
      <w:r>
        <w:lastRenderedPageBreak/>
        <w:t>Agriculture – products:</w:t>
      </w:r>
    </w:p>
    <w:p w:rsidR="00AA215B" w:rsidRDefault="00AA215B" w:rsidP="00AA215B">
      <w:r>
        <w:t>Timber, fish, citrus, vegetables, grapes, olives</w:t>
      </w:r>
      <w:r w:rsidR="00D76FE5">
        <w:t>; poultry, pork, lamb, goats; dairy, cheese</w:t>
      </w:r>
    </w:p>
    <w:p w:rsidR="00D76FE5" w:rsidRDefault="00D76FE5" w:rsidP="00D76FE5">
      <w:pPr>
        <w:pStyle w:val="Heading3"/>
      </w:pPr>
      <w:r>
        <w:t>Industries:</w:t>
      </w:r>
    </w:p>
    <w:p w:rsidR="00D76FE5" w:rsidRDefault="00D76FE5" w:rsidP="00D76FE5">
      <w:r>
        <w:t>Natural gas, wood, paper, ship building and repair, tourism, financial services</w:t>
      </w:r>
    </w:p>
    <w:p w:rsidR="00D76FE5" w:rsidRDefault="00D76FE5" w:rsidP="00D76FE5">
      <w:pPr>
        <w:pStyle w:val="Heading3"/>
      </w:pPr>
      <w:r>
        <w:t>Labor force:</w:t>
      </w:r>
    </w:p>
    <w:p w:rsidR="00D76FE5" w:rsidRDefault="00703B33" w:rsidP="00D76FE5">
      <w:r>
        <w:t>462,149</w:t>
      </w:r>
      <w:r w:rsidR="00C90FE2">
        <w:t xml:space="preserve"> (2013 </w:t>
      </w:r>
      <w:proofErr w:type="gramStart"/>
      <w:r w:rsidR="00C90FE2">
        <w:t>est</w:t>
      </w:r>
      <w:proofErr w:type="gramEnd"/>
      <w:r w:rsidR="00C90FE2">
        <w:t>.)</w:t>
      </w:r>
    </w:p>
    <w:p w:rsidR="00C90FE2" w:rsidRDefault="00C90FE2" w:rsidP="00C90FE2">
      <w:pPr>
        <w:pStyle w:val="Heading3"/>
      </w:pPr>
      <w:r>
        <w:t>Labor force – by occupation:</w:t>
      </w:r>
    </w:p>
    <w:p w:rsidR="00C90FE2" w:rsidRDefault="00C90FE2" w:rsidP="00C90FE2">
      <w:r w:rsidRPr="00C90FE2">
        <w:rPr>
          <w:b/>
        </w:rPr>
        <w:t>Agriculture:</w:t>
      </w:r>
      <w:r>
        <w:t xml:space="preserve"> 70%</w:t>
      </w:r>
    </w:p>
    <w:p w:rsidR="00C90FE2" w:rsidRDefault="00C90FE2" w:rsidP="00C90FE2">
      <w:r w:rsidRPr="00C90FE2">
        <w:rPr>
          <w:b/>
        </w:rPr>
        <w:t>Industry:</w:t>
      </w:r>
      <w:r>
        <w:t xml:space="preserve"> 10%</w:t>
      </w:r>
    </w:p>
    <w:p w:rsidR="00C90FE2" w:rsidRDefault="00C90FE2" w:rsidP="00C90FE2">
      <w:r w:rsidRPr="00C90FE2">
        <w:rPr>
          <w:b/>
        </w:rPr>
        <w:t>Services:</w:t>
      </w:r>
      <w:r>
        <w:t xml:space="preserve"> 20%</w:t>
      </w:r>
    </w:p>
    <w:p w:rsidR="00C90FE2" w:rsidRDefault="00C90FE2" w:rsidP="00C90FE2">
      <w:pPr>
        <w:pStyle w:val="Heading3"/>
      </w:pPr>
      <w:r>
        <w:t>Unemployment rate:</w:t>
      </w:r>
    </w:p>
    <w:p w:rsidR="00C90FE2" w:rsidRDefault="00C90FE2" w:rsidP="00C90FE2">
      <w:r>
        <w:t xml:space="preserve">23.7% (2012 </w:t>
      </w:r>
      <w:proofErr w:type="gramStart"/>
      <w:r>
        <w:t>est</w:t>
      </w:r>
      <w:proofErr w:type="gramEnd"/>
      <w:r>
        <w:t>.)</w:t>
      </w:r>
    </w:p>
    <w:p w:rsidR="00C90FE2" w:rsidRDefault="00C90FE2" w:rsidP="00C90FE2">
      <w:pPr>
        <w:pStyle w:val="Heading3"/>
      </w:pPr>
      <w:r>
        <w:t>Population below poverty line:</w:t>
      </w:r>
    </w:p>
    <w:p w:rsidR="00C90FE2" w:rsidRDefault="00C90FE2" w:rsidP="00C90FE2">
      <w:r>
        <w:t xml:space="preserve">70% (2011 </w:t>
      </w:r>
      <w:proofErr w:type="gramStart"/>
      <w:r>
        <w:t>est</w:t>
      </w:r>
      <w:proofErr w:type="gramEnd"/>
      <w:r>
        <w:t>.)</w:t>
      </w:r>
    </w:p>
    <w:p w:rsidR="004C532C" w:rsidRDefault="004C532C" w:rsidP="004C532C">
      <w:pPr>
        <w:pStyle w:val="Heading2"/>
      </w:pPr>
      <w:r>
        <w:t>Military:</w:t>
      </w:r>
    </w:p>
    <w:p w:rsidR="004C532C" w:rsidRDefault="004C532C" w:rsidP="004C532C">
      <w:pPr>
        <w:pStyle w:val="Heading3"/>
      </w:pPr>
      <w:r>
        <w:t>Military branches:</w:t>
      </w:r>
    </w:p>
    <w:p w:rsidR="004C532C" w:rsidRDefault="004C532C" w:rsidP="004C532C">
      <w:r>
        <w:t>Armed Forces of Kronos (AFK; includes land, maritime, and air elements)</w:t>
      </w:r>
    </w:p>
    <w:p w:rsidR="004C532C" w:rsidRDefault="004C532C" w:rsidP="004C532C">
      <w:pPr>
        <w:pStyle w:val="Heading3"/>
      </w:pPr>
      <w:r>
        <w:t>Military service age and obligation:</w:t>
      </w:r>
    </w:p>
    <w:p w:rsidR="004C532C" w:rsidRDefault="004C532C" w:rsidP="004C532C">
      <w:r>
        <w:t>18 years of age for compulsory military service; both sexes are obligated to military service; conscript service obligation – 24 months for enlisted men</w:t>
      </w:r>
      <w:r w:rsidR="00D70EDB">
        <w:t xml:space="preserve"> and</w:t>
      </w:r>
      <w:r>
        <w:t xml:space="preserve"> enlisted women</w:t>
      </w:r>
    </w:p>
    <w:p w:rsidR="004C532C" w:rsidRDefault="004C532C" w:rsidP="004C532C">
      <w:pPr>
        <w:pStyle w:val="Heading3"/>
      </w:pPr>
      <w:r>
        <w:t>Manpower available for military service:</w:t>
      </w:r>
    </w:p>
    <w:p w:rsidR="004C532C" w:rsidRDefault="004C532C" w:rsidP="004C532C">
      <w:r w:rsidRPr="006C0B7C">
        <w:rPr>
          <w:b/>
        </w:rPr>
        <w:t>Males age 18-49:</w:t>
      </w:r>
      <w:r w:rsidR="006C0B7C">
        <w:t xml:space="preserve"> 175</w:t>
      </w:r>
      <w:r>
        <w:t>,534</w:t>
      </w:r>
    </w:p>
    <w:p w:rsidR="004C532C" w:rsidRPr="004C532C" w:rsidRDefault="004C532C" w:rsidP="004C532C">
      <w:r w:rsidRPr="006C0B7C">
        <w:rPr>
          <w:b/>
        </w:rPr>
        <w:t>Females age 18-49:</w:t>
      </w:r>
      <w:r w:rsidR="006C0B7C">
        <w:t xml:space="preserve"> 172</w:t>
      </w:r>
      <w:r>
        <w:t>,047</w:t>
      </w:r>
    </w:p>
    <w:p w:rsidR="00E72A66" w:rsidRDefault="003E290A" w:rsidP="00E72A66">
      <w:pPr>
        <w:pStyle w:val="Heading2"/>
      </w:pPr>
      <w:r>
        <w:t>T</w:t>
      </w:r>
      <w:r w:rsidR="00E72A66">
        <w:t>ransnational Issues</w:t>
      </w:r>
    </w:p>
    <w:p w:rsidR="00590B20" w:rsidRDefault="00590B20" w:rsidP="00590B20">
      <w:pPr>
        <w:pStyle w:val="Heading3"/>
      </w:pPr>
      <w:r>
        <w:t>Disputes – international:</w:t>
      </w:r>
    </w:p>
    <w:p w:rsidR="00590B20" w:rsidRDefault="00590B20" w:rsidP="00590B20">
      <w:r>
        <w:t>None</w:t>
      </w:r>
    </w:p>
    <w:p w:rsidR="00590B20" w:rsidRDefault="00590B20" w:rsidP="00590B20">
      <w:pPr>
        <w:pStyle w:val="Heading3"/>
      </w:pPr>
      <w:r>
        <w:t>Illicit drugs:</w:t>
      </w:r>
    </w:p>
    <w:p w:rsidR="00F35965" w:rsidRPr="00EE20BD" w:rsidRDefault="00F35965" w:rsidP="00EE20BD">
      <w:r>
        <w:t>A transshipment point for heroin and hashish to Europe; despite a strengthening of anti-money-laundering legislation, remains vulnerable to money laundering; corruption is a major concern; reporting of suspicious transactions in offshore sector remains week (2010)</w:t>
      </w:r>
    </w:p>
    <w:sectPr w:rsidR="00F35965" w:rsidRPr="00EE20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A43" w:rsidRDefault="007C0A43" w:rsidP="007C0A43">
      <w:r>
        <w:separator/>
      </w:r>
    </w:p>
  </w:endnote>
  <w:endnote w:type="continuationSeparator" w:id="0">
    <w:p w:rsidR="007C0A43" w:rsidRDefault="007C0A43" w:rsidP="007C0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A43" w:rsidRDefault="007C0A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A43" w:rsidRDefault="007C0A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A43" w:rsidRDefault="007C0A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A43" w:rsidRDefault="007C0A43" w:rsidP="007C0A43">
      <w:r>
        <w:separator/>
      </w:r>
    </w:p>
  </w:footnote>
  <w:footnote w:type="continuationSeparator" w:id="0">
    <w:p w:rsidR="007C0A43" w:rsidRDefault="007C0A43" w:rsidP="007C0A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A43" w:rsidRDefault="007C0A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A43" w:rsidRDefault="007C0A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A43" w:rsidRDefault="007C0A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A66"/>
    <w:rsid w:val="00084B86"/>
    <w:rsid w:val="00092BFF"/>
    <w:rsid w:val="00234FC4"/>
    <w:rsid w:val="00295DBD"/>
    <w:rsid w:val="002A59F4"/>
    <w:rsid w:val="003B32F6"/>
    <w:rsid w:val="003E290A"/>
    <w:rsid w:val="00452C62"/>
    <w:rsid w:val="004C532C"/>
    <w:rsid w:val="004D2E66"/>
    <w:rsid w:val="004F1052"/>
    <w:rsid w:val="00515C00"/>
    <w:rsid w:val="00590B20"/>
    <w:rsid w:val="0062644B"/>
    <w:rsid w:val="006C0B7C"/>
    <w:rsid w:val="00703B33"/>
    <w:rsid w:val="00791BB4"/>
    <w:rsid w:val="007929AE"/>
    <w:rsid w:val="007C0A43"/>
    <w:rsid w:val="007C6B4F"/>
    <w:rsid w:val="00852307"/>
    <w:rsid w:val="008C1F82"/>
    <w:rsid w:val="008F6C0B"/>
    <w:rsid w:val="00967E34"/>
    <w:rsid w:val="00996AB3"/>
    <w:rsid w:val="00A62094"/>
    <w:rsid w:val="00AA215B"/>
    <w:rsid w:val="00AB0889"/>
    <w:rsid w:val="00B16B17"/>
    <w:rsid w:val="00BD37E0"/>
    <w:rsid w:val="00C65DCB"/>
    <w:rsid w:val="00C71F38"/>
    <w:rsid w:val="00C90FE2"/>
    <w:rsid w:val="00D21104"/>
    <w:rsid w:val="00D70EDB"/>
    <w:rsid w:val="00D7265B"/>
    <w:rsid w:val="00D76FE5"/>
    <w:rsid w:val="00DC57C6"/>
    <w:rsid w:val="00DF1EC6"/>
    <w:rsid w:val="00E72A66"/>
    <w:rsid w:val="00EB02BC"/>
    <w:rsid w:val="00EE20BD"/>
    <w:rsid w:val="00EF5624"/>
    <w:rsid w:val="00F35965"/>
    <w:rsid w:val="00F4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A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A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2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2A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C0A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A43"/>
  </w:style>
  <w:style w:type="paragraph" w:styleId="Footer">
    <w:name w:val="footer"/>
    <w:basedOn w:val="Normal"/>
    <w:link w:val="FooterChar"/>
    <w:uiPriority w:val="99"/>
    <w:unhideWhenUsed/>
    <w:rsid w:val="007C0A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A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A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A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2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2A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C0A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A43"/>
  </w:style>
  <w:style w:type="paragraph" w:styleId="Footer">
    <w:name w:val="footer"/>
    <w:basedOn w:val="Normal"/>
    <w:link w:val="FooterChar"/>
    <w:uiPriority w:val="99"/>
    <w:unhideWhenUsed/>
    <w:rsid w:val="007C0A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2014-03-21T22:00:00Z</dcterms:created>
  <dcterms:modified xsi:type="dcterms:W3CDTF">2014-03-27T18:14:00Z</dcterms:modified>
</cp:coreProperties>
</file>