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F172A"/>
        </w:rPr>
        <w:t>Earth + Target Pointing Feasibility — OG3 GEO Rendezvous</w:t>
      </w:r>
    </w:p>
    <w:p>
      <w:r>
        <w:rPr>
          <w:color w:val="64748B"/>
          <w:sz w:val="20"/>
        </w:rPr>
        <w:t>Reference: Notes — RDV ConOps  |  Dataset: og3 nominal simulation  |  Antenna: X-band (±4.5° half-cone)</w:t>
      </w:r>
    </w:p>
    <w:p/>
    <w:p>
      <w:pPr>
        <w:pStyle w:val="Heading1"/>
      </w:pPr>
      <w:r>
        <w:rPr>
          <w:color w:val="1E293B"/>
        </w:rPr>
        <w:t>1. Context</w:t>
      </w:r>
    </w:p>
    <w:p>
      <w:pPr>
        <w:spacing w:after="120"/>
      </w:pPr>
      <w:r>
        <w:t>During the far-range rendezvous the spacecraft cycles through two operational attitude modes. Combined Earth and target pointing — Earth for orbit determination and target for inspection and rendezvous — is required every 6 hours per ConOps, with a 25-minute window each time.</w:t>
      </w:r>
    </w:p>
    <w:p>
      <w:pPr>
        <w:spacing w:after="120"/>
      </w:pPr>
      <w:r>
        <w:t>The spacecraft geometry constraining this problem:</w:t>
      </w:r>
    </w:p>
    <w:p>
      <w:pPr>
        <w:pStyle w:val="ListBullet"/>
        <w:spacing w:after="60"/>
      </w:pPr>
      <w:r>
        <w:t>Camera boresight: +Z body axis (for target pointing)</w:t>
      </w:r>
    </w:p>
    <w:p>
      <w:pPr>
        <w:pStyle w:val="ListBullet"/>
        <w:spacing w:after="60"/>
      </w:pPr>
      <w:r>
        <w:t>X-band antenna: +Y and −Y body panels (for Earth communications)</w:t>
      </w:r>
    </w:p>
    <w:p>
      <w:pPr>
        <w:pStyle w:val="ListBullet"/>
        <w:spacing w:after="60"/>
      </w:pPr>
      <w:r>
        <w:t>Camera and antenna are fixed 90° apart on the spacecraft body</w:t>
      </w:r>
    </w:p>
    <w:p>
      <w:pPr>
        <w:spacing w:after="120"/>
      </w:pPr>
      <w:r>
        <w:t>The central question is therefore: can both constraints be satisfied simultaneously, and what antenna pointing errors result? The answer depends on where the Earth and target directions happen to fall relative to each other as seen from the spacecraft — a purely geometric quantity.</w:t>
      </w:r>
    </w:p>
    <w:tbl>
      <w:tblPr>
        <w:tblStyle w:val="TableGrid"/>
        <w:tblW w:type="auto" w:w="0"/>
        <w:tblLook w:firstColumn="1" w:firstRow="1" w:lastColumn="0" w:lastRow="0" w:noHBand="0" w:noVBand="1" w:val="04A0"/>
      </w:tblPr>
      <w:tblGrid>
        <w:gridCol w:w="4703"/>
        <w:gridCol w:w="4703"/>
      </w:tblGrid>
      <w:tr>
        <w:tc>
          <w:tcPr>
            <w:tcW w:type="dxa" w:w="2160"/>
            <w:shd w:fill="D1D5DB" w:color="auto" w:val="clear"/>
          </w:tcPr>
          <w:p>
            <w:pPr>
              <w:jc w:val="center"/>
            </w:pPr>
            <w:r>
              <w:rPr>
                <w:b/>
                <w:sz w:val="18"/>
              </w:rPr>
              <w:t>Mode</w:t>
            </w:r>
          </w:p>
        </w:tc>
        <w:tc>
          <w:tcPr>
            <w:tcW w:type="dxa" w:w="6912"/>
            <w:shd w:fill="D1D5DB" w:color="auto" w:val="clear"/>
          </w:tcPr>
          <w:p>
            <w:pPr>
              <w:jc w:val="center"/>
            </w:pPr>
            <w:r>
              <w:rPr>
                <w:b/>
                <w:sz w:val="18"/>
              </w:rPr>
              <w:t>Attitude Definition</w:t>
            </w:r>
          </w:p>
        </w:tc>
      </w:tr>
      <w:tr>
        <w:tc>
          <w:tcPr>
            <w:tcW w:type="dxa" w:w="2160"/>
          </w:tcPr>
          <w:p>
            <w:r>
              <w:rPr>
                <w:sz w:val="18"/>
              </w:rPr>
              <w:t>Mode 1 (Target+Sun)</w:t>
            </w:r>
          </w:p>
        </w:tc>
        <w:tc>
          <w:tcPr>
            <w:tcW w:type="dxa" w:w="6912"/>
          </w:tcPr>
          <w:p>
            <w:r>
              <w:rPr>
                <w:sz w:val="18"/>
              </w:rPr>
              <w:t>+Z body → rendezvous target (primary); solar array normal optimised toward Sun (secondary)</w:t>
            </w:r>
          </w:p>
        </w:tc>
      </w:tr>
      <w:tr>
        <w:tc>
          <w:tcPr>
            <w:tcW w:type="dxa" w:w="2160"/>
          </w:tcPr>
          <w:p>
            <w:r>
              <w:rPr>
                <w:sz w:val="18"/>
              </w:rPr>
              <w:t>Mode 2 (Nadir+Sun)</w:t>
            </w:r>
          </w:p>
        </w:tc>
        <w:tc>
          <w:tcPr>
            <w:tcW w:type="dxa" w:w="6912"/>
          </w:tcPr>
          <w:p>
            <w:r>
              <w:rPr>
                <w:sz w:val="18"/>
              </w:rPr>
              <w:t>+Z body → local nadir / Earth centre (primary); solar array normal optimised toward Sun (secondary)</w:t>
            </w:r>
          </w:p>
        </w:tc>
      </w:tr>
      <w:tr>
        <w:tc>
          <w:tcPr>
            <w:tcW w:type="dxa" w:w="2160"/>
          </w:tcPr>
          <w:p>
            <w:r>
              <w:rPr>
                <w:sz w:val="18"/>
              </w:rPr>
              <w:t>Combined attitude</w:t>
              <w:br/>
              <w:t>(reference only)</w:t>
            </w:r>
          </w:p>
        </w:tc>
        <w:tc>
          <w:tcPr>
            <w:tcW w:type="dxa" w:w="6912"/>
          </w:tcPr>
          <w:p>
            <w:r>
              <w:rPr>
                <w:sz w:val="18"/>
              </w:rPr>
              <w:t>+Z body → target (exact); +Y body → Earth direction projected onto plane ⊥ +Z (best-effort). Not an operational mode; used as the reference for slew cost computation.</w:t>
            </w:r>
          </w:p>
        </w:tc>
      </w:tr>
    </w:tbl>
    <w:p/>
    <w:p>
      <w:pPr>
        <w:pStyle w:val="Heading1"/>
      </w:pPr>
      <w:r>
        <w:rPr>
          <w:color w:val="1E293B"/>
        </w:rPr>
        <w:t>2. Earth–Target Angular Separation</w:t>
      </w:r>
    </w:p>
    <w:p>
      <w:pPr>
        <w:spacing w:after="120"/>
      </w:pPr>
      <w:r>
        <w:t>The first step is understanding the geometric relationship between the two pointing targets — Earth and the rendezvous target — as seen from the spacecraft. This angle is computed from ECI position vectors and is entirely independent of spacecraft attitude.</w:t>
      </w:r>
    </w:p>
    <w:p>
      <w:pPr>
        <w:spacing w:after="120"/>
      </w:pPr>
      <w:r>
        <w:t>At GEO, even though the along-track separation between the two spacecraft is small (1–61 km), the Earth centre is essentially straight "down" (nadir). The target is displaced along track by a few kilometres — a tiny angular offset relative to the 42,164 km orbital radius. The angle between the Earth direction and the target direction as seen from the spacecraft is therefore dominated by the orbital geometry and converges to approximately 90° throughout most of the approach.</w:t>
      </w:r>
    </w:p>
    <w:p>
      <w:pPr>
        <w:spacing w:after="120"/>
      </w:pPr>
      <w:r>
        <w:t>This separation oscillates at the GEO synodic period (≈ 23.4 h in the og3 dataset) as the spacecraft's orbital position rotates relative to the fixed target. The oscillation is centred near 90° with a time-varying amplitude that grows significantly as the along-track separation closes below 5 km.</w:t>
      </w:r>
    </w:p>
    <w:p>
      <w:pPr>
        <w:spacing w:after="120"/>
      </w:pPr>
      <w:r>
        <w:t>Full-timeline statistics (6,691 data points, Δt = 300 s, 23.23 mission days):</w:t>
      </w:r>
    </w:p>
    <w:tbl>
      <w:tblPr>
        <w:tblStyle w:val="TableGrid"/>
        <w:tblW w:type="auto" w:w="0"/>
        <w:tblLook w:firstColumn="1" w:firstRow="1" w:lastColumn="0" w:lastRow="0" w:noHBand="0" w:noVBand="1" w:val="04A0"/>
      </w:tblPr>
      <w:tblGrid>
        <w:gridCol w:w="1344"/>
        <w:gridCol w:w="1344"/>
        <w:gridCol w:w="1344"/>
        <w:gridCol w:w="1344"/>
        <w:gridCol w:w="1344"/>
        <w:gridCol w:w="1344"/>
        <w:gridCol w:w="1344"/>
      </w:tblGrid>
      <w:tr>
        <w:tc>
          <w:tcPr>
            <w:tcW w:type="dxa" w:w="1584"/>
            <w:shd w:fill="D1D5DB" w:color="auto" w:val="clear"/>
          </w:tcPr>
          <w:p>
            <w:pPr>
              <w:jc w:val="center"/>
            </w:pPr>
            <w:r>
              <w:rPr>
                <w:b/>
                <w:sz w:val="18"/>
              </w:rPr>
              <w:t>Phase</w:t>
            </w:r>
          </w:p>
        </w:tc>
        <w:tc>
          <w:tcPr>
            <w:tcW w:type="dxa" w:w="1872"/>
            <w:shd w:fill="D1D5DB" w:color="auto" w:val="clear"/>
          </w:tcPr>
          <w:p>
            <w:pPr>
              <w:jc w:val="center"/>
            </w:pPr>
            <w:r>
              <w:rPr>
                <w:b/>
                <w:sz w:val="18"/>
              </w:rPr>
              <w:t>Along-track range</w:t>
            </w:r>
          </w:p>
        </w:tc>
        <w:tc>
          <w:tcPr>
            <w:tcW w:type="dxa" w:w="1728"/>
            <w:shd w:fill="D1D5DB" w:color="auto" w:val="clear"/>
          </w:tcPr>
          <w:p>
            <w:pPr>
              <w:jc w:val="center"/>
            </w:pPr>
            <w:r>
              <w:rPr>
                <w:b/>
                <w:sz w:val="18"/>
              </w:rPr>
              <w:t>Mission days</w:t>
            </w:r>
          </w:p>
        </w:tc>
        <w:tc>
          <w:tcPr>
            <w:tcW w:type="dxa" w:w="1440"/>
            <w:shd w:fill="D1D5DB" w:color="auto" w:val="clear"/>
          </w:tcPr>
          <w:p>
            <w:pPr>
              <w:jc w:val="center"/>
            </w:pPr>
            <w:r>
              <w:rPr>
                <w:b/>
                <w:sz w:val="18"/>
              </w:rPr>
              <w:t>Data points</w:t>
            </w:r>
          </w:p>
        </w:tc>
        <w:tc>
          <w:tcPr>
            <w:tcW w:type="dxa" w:w="1152"/>
            <w:shd w:fill="D1D5DB" w:color="auto" w:val="clear"/>
          </w:tcPr>
          <w:p>
            <w:pPr>
              <w:jc w:val="center"/>
            </w:pPr>
            <w:r>
              <w:rPr>
                <w:b/>
                <w:sz w:val="18"/>
              </w:rPr>
              <w:t>Sep. min</w:t>
            </w:r>
          </w:p>
        </w:tc>
        <w:tc>
          <w:tcPr>
            <w:tcW w:type="dxa" w:w="1152"/>
            <w:shd w:fill="D1D5DB" w:color="auto" w:val="clear"/>
          </w:tcPr>
          <w:p>
            <w:pPr>
              <w:jc w:val="center"/>
            </w:pPr>
            <w:r>
              <w:rPr>
                <w:b/>
                <w:sz w:val="18"/>
              </w:rPr>
              <w:t>Sep. max</w:t>
            </w:r>
          </w:p>
        </w:tc>
        <w:tc>
          <w:tcPr>
            <w:tcW w:type="dxa" w:w="1152"/>
            <w:shd w:fill="D1D5DB" w:color="auto" w:val="clear"/>
          </w:tcPr>
          <w:p>
            <w:pPr>
              <w:jc w:val="center"/>
            </w:pPr>
            <w:r>
              <w:rPr>
                <w:b/>
                <w:sz w:val="18"/>
              </w:rPr>
              <w:t>Sep. mean</w:t>
            </w:r>
          </w:p>
        </w:tc>
      </w:tr>
      <w:tr>
        <w:tc>
          <w:tcPr>
            <w:tcW w:type="dxa" w:w="1584"/>
          </w:tcPr>
          <w:p>
            <w:r>
              <w:rPr>
                <w:sz w:val="18"/>
              </w:rPr>
              <w:t>Far range</w:t>
            </w:r>
          </w:p>
        </w:tc>
        <w:tc>
          <w:tcPr>
            <w:tcW w:type="dxa" w:w="1872"/>
          </w:tcPr>
          <w:p>
            <w:r>
              <w:rPr>
                <w:sz w:val="18"/>
              </w:rPr>
              <w:t>−61 to −5 km</w:t>
            </w:r>
          </w:p>
        </w:tc>
        <w:tc>
          <w:tcPr>
            <w:tcW w:type="dxa" w:w="1728"/>
          </w:tcPr>
          <w:p>
            <w:r>
              <w:rPr>
                <w:sz w:val="18"/>
              </w:rPr>
              <w:t>0 – 15.2</w:t>
            </w:r>
          </w:p>
        </w:tc>
        <w:tc>
          <w:tcPr>
            <w:tcW w:type="dxa" w:w="1440"/>
          </w:tcPr>
          <w:p>
            <w:r>
              <w:rPr>
                <w:sz w:val="18"/>
              </w:rPr>
              <w:t>4,387</w:t>
            </w:r>
          </w:p>
        </w:tc>
        <w:tc>
          <w:tcPr>
            <w:tcW w:type="dxa" w:w="1152"/>
          </w:tcPr>
          <w:p>
            <w:r>
              <w:rPr>
                <w:sz w:val="18"/>
              </w:rPr>
              <w:t>85.1°</w:t>
            </w:r>
          </w:p>
        </w:tc>
        <w:tc>
          <w:tcPr>
            <w:tcW w:type="dxa" w:w="1152"/>
          </w:tcPr>
          <w:p>
            <w:r>
              <w:rPr>
                <w:sz w:val="18"/>
              </w:rPr>
              <w:t>127.2°</w:t>
            </w:r>
          </w:p>
        </w:tc>
        <w:tc>
          <w:tcPr>
            <w:tcW w:type="dxa" w:w="1152"/>
          </w:tcPr>
          <w:p>
            <w:r>
              <w:rPr>
                <w:sz w:val="18"/>
              </w:rPr>
              <w:t>91.3°</w:t>
            </w:r>
          </w:p>
        </w:tc>
      </w:tr>
      <w:tr>
        <w:tc>
          <w:tcPr>
            <w:tcW w:type="dxa" w:w="1584"/>
          </w:tcPr>
          <w:p>
            <w:r>
              <w:rPr>
                <w:sz w:val="18"/>
              </w:rPr>
              <w:t>Close range</w:t>
            </w:r>
          </w:p>
        </w:tc>
        <w:tc>
          <w:tcPr>
            <w:tcW w:type="dxa" w:w="1872"/>
          </w:tcPr>
          <w:p>
            <w:r>
              <w:rPr>
                <w:sz w:val="18"/>
              </w:rPr>
              <w:t>−5 to +1.1 km</w:t>
            </w:r>
          </w:p>
        </w:tc>
        <w:tc>
          <w:tcPr>
            <w:tcW w:type="dxa" w:w="1728"/>
          </w:tcPr>
          <w:p>
            <w:r>
              <w:rPr>
                <w:sz w:val="18"/>
              </w:rPr>
              <w:t>15.2 – 23.2</w:t>
            </w:r>
          </w:p>
        </w:tc>
        <w:tc>
          <w:tcPr>
            <w:tcW w:type="dxa" w:w="1440"/>
          </w:tcPr>
          <w:p>
            <w:r>
              <w:rPr>
                <w:sz w:val="18"/>
              </w:rPr>
              <w:t>2,304</w:t>
            </w:r>
          </w:p>
        </w:tc>
        <w:tc>
          <w:tcPr>
            <w:tcW w:type="dxa" w:w="1152"/>
          </w:tcPr>
          <w:p>
            <w:r>
              <w:rPr>
                <w:sz w:val="18"/>
              </w:rPr>
              <w:t>5.9°</w:t>
            </w:r>
          </w:p>
        </w:tc>
        <w:tc>
          <w:tcPr>
            <w:tcW w:type="dxa" w:w="1152"/>
          </w:tcPr>
          <w:p>
            <w:r>
              <w:rPr>
                <w:sz w:val="18"/>
              </w:rPr>
              <w:t>177.2°</w:t>
            </w:r>
          </w:p>
        </w:tc>
        <w:tc>
          <w:tcPr>
            <w:tcW w:type="dxa" w:w="1152"/>
          </w:tcPr>
          <w:p>
            <w:r>
              <w:rPr>
                <w:sz w:val="18"/>
              </w:rPr>
              <w:t>92.8°</w:t>
            </w:r>
          </w:p>
        </w:tc>
      </w:tr>
      <w:tr>
        <w:tc>
          <w:tcPr>
            <w:tcW w:type="dxa" w:w="1584"/>
          </w:tcPr>
          <w:p>
            <w:r>
              <w:rPr>
                <w:sz w:val="18"/>
              </w:rPr>
              <w:t>Full mission</w:t>
            </w:r>
          </w:p>
        </w:tc>
        <w:tc>
          <w:tcPr>
            <w:tcW w:type="dxa" w:w="1872"/>
          </w:tcPr>
          <w:p>
            <w:r>
              <w:rPr>
                <w:sz w:val="18"/>
              </w:rPr>
              <w:t>−61 to +1.1 km</w:t>
            </w:r>
          </w:p>
        </w:tc>
        <w:tc>
          <w:tcPr>
            <w:tcW w:type="dxa" w:w="1728"/>
          </w:tcPr>
          <w:p>
            <w:r>
              <w:rPr>
                <w:sz w:val="18"/>
              </w:rPr>
              <w:t>0 – 23.2</w:t>
            </w:r>
          </w:p>
        </w:tc>
        <w:tc>
          <w:tcPr>
            <w:tcW w:type="dxa" w:w="1440"/>
          </w:tcPr>
          <w:p>
            <w:r>
              <w:rPr>
                <w:sz w:val="18"/>
              </w:rPr>
              <w:t>6,691</w:t>
            </w:r>
          </w:p>
        </w:tc>
        <w:tc>
          <w:tcPr>
            <w:tcW w:type="dxa" w:w="1152"/>
          </w:tcPr>
          <w:p>
            <w:r>
              <w:rPr>
                <w:sz w:val="18"/>
              </w:rPr>
              <w:t>5.9°</w:t>
            </w:r>
          </w:p>
        </w:tc>
        <w:tc>
          <w:tcPr>
            <w:tcW w:type="dxa" w:w="1152"/>
          </w:tcPr>
          <w:p>
            <w:r>
              <w:rPr>
                <w:sz w:val="18"/>
              </w:rPr>
              <w:t>177.2°</w:t>
            </w:r>
          </w:p>
        </w:tc>
        <w:tc>
          <w:tcPr>
            <w:tcW w:type="dxa" w:w="1152"/>
          </w:tcPr>
          <w:p>
            <w:r>
              <w:rPr>
                <w:sz w:val="18"/>
              </w:rPr>
              <w:t>91.8°</w:t>
            </w:r>
          </w:p>
        </w:tc>
      </w:tr>
    </w:tbl>
    <w:p/>
    <w:p>
      <w:pPr>
        <w:spacing w:after="120"/>
      </w:pPr>
      <w:r>
        <w:t>The far-range phase is geometrically benign: the separation is tightly bounded within 85°–127°, never straying far from 90°. This is the regime where the 90° camera-antenna body angle is naturally matched to the orbital geometry. The close-range phase is geometrically severe: the separation swings from near-zero to near-180° as the target's relative position rotates in the LVLH frame. The practical implication for X-band — with its narrow ±4.5° feasibility band around 90° — is that communication opportunities are sparse and require precise timing.</w:t>
      </w:r>
    </w:p>
    <w:p>
      <w:pPr>
        <w:spacing w:after="120"/>
      </w:pPr>
      <w:r>
        <w:t>An important property of the 90° mean separation: it matches the fixed 90° angle between the camera (+Z) and antenna (+Y/−Y) on the spacecraft body. This geometric coincidence is the physical basis for combined Earth+Target pointing feasibility.</w:t>
      </w:r>
    </w:p>
    <w:p>
      <w:pPr>
        <w:pStyle w:val="Heading1"/>
      </w:pPr>
      <w:r>
        <w:rPr>
          <w:color w:val="1E293B"/>
        </w:rPr>
        <w:t>3. X-band Antenna Pointing Feasibility</w:t>
      </w:r>
    </w:p>
    <w:p>
      <w:pPr>
        <w:pStyle w:val="Heading2"/>
      </w:pPr>
      <w:r>
        <w:rPr>
          <w:color w:val="334155"/>
        </w:rPr>
        <w:t>3.1 Analytical framework</w:t>
      </w:r>
    </w:p>
    <w:p>
      <w:pPr>
        <w:spacing w:after="120"/>
      </w:pPr>
      <w:r>
        <w:t>With the camera locked exactly on the target (+Z → target, Mode 1), the remaining rotational degree of freedom is a rotation about the +Z boresight. This rotation positions the +Y antenna panel as close to the Earth direction as possible. The residual antenna pointing error is:</w:t>
      </w:r>
    </w:p>
    <w:p>
      <w:pPr>
        <w:ind w:left="720"/>
      </w:pPr>
      <w:r>
        <w:rPr>
          <w:b/>
          <w:sz w:val="22"/>
        </w:rPr>
        <w:t>Antenna Error  =  | 90° − Earth–Target angular separation |</w:t>
      </w:r>
    </w:p>
    <w:p>
      <w:pPr>
        <w:spacing w:after="120"/>
      </w:pPr>
      <w:r>
        <w:t>This identity is exact: since the camera (+Z) is locked to the target and the antenna (+Y) is fixed 90° from the camera on the body, the best achievable antenna-to-Earth angle equals the absolute deviation of the Earth–Target separation from 90°. Both the +Y and −Y antenna panels are considered; the minimum error of the two is used.</w:t>
      </w:r>
    </w:p>
    <w:p>
      <w:pPr>
        <w:spacing w:after="120"/>
      </w:pPr>
      <w:r>
        <w:t>The X-band 3 dB half-cone angle is confirmed at 4.5° (9° full cone). Feasibility requires the antenna error to remain within this threshold, i.e., the Earth–Target separation must lie within the band [85.5°, 94.5°].</w:t>
      </w:r>
    </w:p>
    <w:p>
      <w:pPr>
        <w:spacing w:after="120"/>
      </w:pPr>
      <w:r>
        <w:t>Mode 2 (Nadir+Sun) is analytically infeasible for combined pointing. With +Z constrained to the nadir direction, pointing the camera at the target would require a rotation equal to the full Earth–Target angular separation (5.9°–177.2° across the mission). This violates the primary nadir-pointing constraint for all but the most extreme geometries (&lt; 0.01% of the timeline falls within the X-band cone). Mode 2 achieves 0% effective feasibility.</w:t>
      </w:r>
    </w:p>
    <w:p>
      <w:pPr>
        <w:pStyle w:val="Heading2"/>
      </w:pPr>
      <w:r>
        <w:rPr>
          <w:color w:val="334155"/>
        </w:rPr>
        <w:t>3.2 Far-range phase (0 – 15.2 days, −61 to −5 km)</w:t>
      </w:r>
    </w:p>
    <w:p>
      <w:pPr>
        <w:spacing w:after="120"/>
      </w:pPr>
      <w:r>
        <w:t>In the far-range phase, the Earth–Target separation is tightly bounded within 85.1°–127.2° with a mean of 91.3°. The Mode 1 antenna error remains low, with a mean of 3.4° and a maximum of 37.2°.</w:t>
      </w:r>
    </w:p>
    <w:tbl>
      <w:tblPr>
        <w:tblStyle w:val="TableGrid"/>
        <w:tblW w:type="auto" w:w="0"/>
        <w:tblLook w:firstColumn="1" w:firstRow="1" w:lastColumn="0" w:lastRow="0" w:noHBand="0" w:noVBand="1" w:val="04A0"/>
      </w:tblPr>
      <w:tblGrid>
        <w:gridCol w:w="4703"/>
        <w:gridCol w:w="4703"/>
      </w:tblGrid>
      <w:tr>
        <w:tc>
          <w:tcPr>
            <w:tcW w:type="dxa" w:w="3600"/>
            <w:shd w:fill="D1D5DB" w:color="auto" w:val="clear"/>
          </w:tcPr>
          <w:p>
            <w:pPr>
              <w:jc w:val="center"/>
            </w:pPr>
            <w:r>
              <w:rPr>
                <w:b/>
                <w:sz w:val="18"/>
              </w:rPr>
              <w:t>Error threshold</w:t>
            </w:r>
          </w:p>
        </w:tc>
        <w:tc>
          <w:tcPr>
            <w:tcW w:type="dxa" w:w="3600"/>
            <w:shd w:fill="D1D5DB" w:color="auto" w:val="clear"/>
          </w:tcPr>
          <w:p>
            <w:pPr>
              <w:jc w:val="center"/>
            </w:pPr>
            <w:r>
              <w:rPr>
                <w:b/>
                <w:sz w:val="18"/>
              </w:rPr>
              <w:t>Feasibility (% of far-range epochs)</w:t>
            </w:r>
          </w:p>
        </w:tc>
      </w:tr>
      <w:tr>
        <w:tc>
          <w:tcPr>
            <w:tcW w:type="dxa" w:w="3600"/>
          </w:tcPr>
          <w:p>
            <w:r>
              <w:rPr>
                <w:sz w:val="18"/>
              </w:rPr>
              <w:t>≤ 2°</w:t>
            </w:r>
          </w:p>
        </w:tc>
        <w:tc>
          <w:tcPr>
            <w:tcW w:type="dxa" w:w="3600"/>
          </w:tcPr>
          <w:p>
            <w:r>
              <w:rPr>
                <w:sz w:val="18"/>
              </w:rPr>
              <w:t>32.9%</w:t>
            </w:r>
          </w:p>
        </w:tc>
      </w:tr>
      <w:tr>
        <w:tc>
          <w:tcPr>
            <w:tcW w:type="dxa" w:w="3600"/>
          </w:tcPr>
          <w:p>
            <w:r>
              <w:rPr>
                <w:sz w:val="18"/>
              </w:rPr>
              <w:t>≤ 4°</w:t>
            </w:r>
          </w:p>
        </w:tc>
        <w:tc>
          <w:tcPr>
            <w:tcW w:type="dxa" w:w="3600"/>
          </w:tcPr>
          <w:p>
            <w:r>
              <w:rPr>
                <w:sz w:val="18"/>
              </w:rPr>
              <w:t>76.2%</w:t>
            </w:r>
          </w:p>
        </w:tc>
      </w:tr>
      <w:tr>
        <w:tc>
          <w:tcPr>
            <w:tcW w:type="dxa" w:w="3600"/>
          </w:tcPr>
          <w:p>
            <w:r>
              <w:rPr>
                <w:sz w:val="18"/>
              </w:rPr>
              <w:t>≤ 4.5° (X-band 3 dB half-cone)</w:t>
            </w:r>
          </w:p>
        </w:tc>
        <w:tc>
          <w:tcPr>
            <w:tcW w:type="dxa" w:w="3600"/>
          </w:tcPr>
          <w:p>
            <w:r>
              <w:rPr>
                <w:sz w:val="18"/>
              </w:rPr>
              <w:t>92.7%</w:t>
            </w:r>
          </w:p>
        </w:tc>
      </w:tr>
      <w:tr>
        <w:tc>
          <w:tcPr>
            <w:tcW w:type="dxa" w:w="3600"/>
          </w:tcPr>
          <w:p>
            <w:r>
              <w:rPr>
                <w:sz w:val="18"/>
              </w:rPr>
              <w:t>≤ 5°</w:t>
            </w:r>
          </w:p>
        </w:tc>
        <w:tc>
          <w:tcPr>
            <w:tcW w:type="dxa" w:w="3600"/>
          </w:tcPr>
          <w:p>
            <w:r>
              <w:rPr>
                <w:sz w:val="18"/>
              </w:rPr>
              <w:t>92.7%</w:t>
            </w:r>
          </w:p>
        </w:tc>
      </w:tr>
      <w:tr>
        <w:tc>
          <w:tcPr>
            <w:tcW w:type="dxa" w:w="3600"/>
          </w:tcPr>
          <w:p>
            <w:r>
              <w:rPr>
                <w:sz w:val="18"/>
              </w:rPr>
              <w:t>≤ 10°</w:t>
            </w:r>
          </w:p>
        </w:tc>
        <w:tc>
          <w:tcPr>
            <w:tcW w:type="dxa" w:w="3600"/>
          </w:tcPr>
          <w:p>
            <w:r>
              <w:rPr>
                <w:sz w:val="18"/>
              </w:rPr>
              <w:t>96.5%</w:t>
            </w:r>
          </w:p>
        </w:tc>
      </w:tr>
      <w:tr>
        <w:tc>
          <w:tcPr>
            <w:tcW w:type="dxa" w:w="3600"/>
          </w:tcPr>
          <w:p>
            <w:r>
              <w:rPr>
                <w:sz w:val="18"/>
              </w:rPr>
              <w:t>≤ 20°</w:t>
            </w:r>
          </w:p>
        </w:tc>
        <w:tc>
          <w:tcPr>
            <w:tcW w:type="dxa" w:w="3600"/>
          </w:tcPr>
          <w:p>
            <w:r>
              <w:rPr>
                <w:sz w:val="18"/>
              </w:rPr>
              <w:t>98.4%</w:t>
            </w:r>
          </w:p>
        </w:tc>
      </w:tr>
    </w:tbl>
    <w:p/>
    <w:p>
      <w:pPr>
        <w:spacing w:after="120"/>
      </w:pPr>
      <w:r>
        <w:t>During the far-range approach, X-band combined pointing is feasible for 92.7% of epochs. The episodes of degraded feasibility correspond to excursions above 94.5° in angular separation (up to 127.2°), driven by the GEO-period oscillation. Importantly, within any given 6-hour ConOps window, the separation will typically pass through 90° or remain within the feasible band for a substantial fraction of the slot.</w:t>
      </w:r>
    </w:p>
    <w:p>
      <w:pPr>
        <w:spacing w:after="120"/>
      </w:pPr>
      <w:r>
        <w:t>Propulsion context: 72 PPS (primary propulsion) station-keeping events occur during the far-range phase (days 0.2–15.1), providing regular attitude disturbances at approximately 6-hour intervals that must be accounted for in window scheduling.</w:t>
      </w:r>
    </w:p>
    <w:p>
      <w:pPr>
        <w:pStyle w:val="Heading2"/>
      </w:pPr>
      <w:r>
        <w:rPr>
          <w:color w:val="334155"/>
        </w:rPr>
        <w:t>3.3 Close-range phase (15.2 – 23.2 days, −5 to +1.1 km)</w:t>
      </w:r>
    </w:p>
    <w:p>
      <w:pPr>
        <w:spacing w:after="120"/>
      </w:pPr>
      <w:r>
        <w:t>The close-range phase presents a fundamentally different geometric regime. The Earth–Target separation oscillates over its full range from 5.9° to 177.2°, spending only a small fraction of the time near 90°. The Mode 1 antenna error rises sharply: mean 20.1°, maximum 87.2°.</w:t>
      </w:r>
    </w:p>
    <w:tbl>
      <w:tblPr>
        <w:tblStyle w:val="TableGrid"/>
        <w:tblW w:type="auto" w:w="0"/>
        <w:tblLook w:firstColumn="1" w:firstRow="1" w:lastColumn="0" w:lastRow="0" w:noHBand="0" w:noVBand="1" w:val="04A0"/>
      </w:tblPr>
      <w:tblGrid>
        <w:gridCol w:w="4703"/>
        <w:gridCol w:w="4703"/>
      </w:tblGrid>
      <w:tr>
        <w:tc>
          <w:tcPr>
            <w:tcW w:type="dxa" w:w="3600"/>
            <w:shd w:fill="D1D5DB" w:color="auto" w:val="clear"/>
          </w:tcPr>
          <w:p>
            <w:pPr>
              <w:jc w:val="center"/>
            </w:pPr>
            <w:r>
              <w:rPr>
                <w:b/>
                <w:sz w:val="18"/>
              </w:rPr>
              <w:t>Error threshold</w:t>
            </w:r>
          </w:p>
        </w:tc>
        <w:tc>
          <w:tcPr>
            <w:tcW w:type="dxa" w:w="3600"/>
            <w:shd w:fill="D1D5DB" w:color="auto" w:val="clear"/>
          </w:tcPr>
          <w:p>
            <w:pPr>
              <w:jc w:val="center"/>
            </w:pPr>
            <w:r>
              <w:rPr>
                <w:b/>
                <w:sz w:val="18"/>
              </w:rPr>
              <w:t>Feasibility (% of close-range epochs)</w:t>
            </w:r>
          </w:p>
        </w:tc>
      </w:tr>
      <w:tr>
        <w:tc>
          <w:tcPr>
            <w:tcW w:type="dxa" w:w="3600"/>
          </w:tcPr>
          <w:p>
            <w:r>
              <w:rPr>
                <w:sz w:val="18"/>
              </w:rPr>
              <w:t>≤ 2°</w:t>
            </w:r>
          </w:p>
        </w:tc>
        <w:tc>
          <w:tcPr>
            <w:tcW w:type="dxa" w:w="3600"/>
          </w:tcPr>
          <w:p>
            <w:r>
              <w:rPr>
                <w:sz w:val="18"/>
              </w:rPr>
              <w:t>6.2%</w:t>
            </w:r>
          </w:p>
        </w:tc>
      </w:tr>
      <w:tr>
        <w:tc>
          <w:tcPr>
            <w:tcW w:type="dxa" w:w="3600"/>
          </w:tcPr>
          <w:p>
            <w:r>
              <w:rPr>
                <w:sz w:val="18"/>
              </w:rPr>
              <w:t>≤ 4°</w:t>
            </w:r>
          </w:p>
        </w:tc>
        <w:tc>
          <w:tcPr>
            <w:tcW w:type="dxa" w:w="3600"/>
          </w:tcPr>
          <w:p>
            <w:r>
              <w:rPr>
                <w:sz w:val="18"/>
              </w:rPr>
              <w:t>12.4%</w:t>
            </w:r>
          </w:p>
        </w:tc>
      </w:tr>
      <w:tr>
        <w:tc>
          <w:tcPr>
            <w:tcW w:type="dxa" w:w="3600"/>
          </w:tcPr>
          <w:p>
            <w:r>
              <w:rPr>
                <w:sz w:val="18"/>
              </w:rPr>
              <w:t>≤ 4.5° (X-band 3 dB half-cone)</w:t>
            </w:r>
          </w:p>
        </w:tc>
        <w:tc>
          <w:tcPr>
            <w:tcW w:type="dxa" w:w="3600"/>
          </w:tcPr>
          <w:p>
            <w:r>
              <w:rPr>
                <w:sz w:val="18"/>
              </w:rPr>
              <w:t>15.5%</w:t>
            </w:r>
          </w:p>
        </w:tc>
      </w:tr>
      <w:tr>
        <w:tc>
          <w:tcPr>
            <w:tcW w:type="dxa" w:w="3600"/>
          </w:tcPr>
          <w:p>
            <w:r>
              <w:rPr>
                <w:sz w:val="18"/>
              </w:rPr>
              <w:t>≤ 5°</w:t>
            </w:r>
          </w:p>
        </w:tc>
        <w:tc>
          <w:tcPr>
            <w:tcW w:type="dxa" w:w="3600"/>
          </w:tcPr>
          <w:p>
            <w:r>
              <w:rPr>
                <w:sz w:val="18"/>
              </w:rPr>
              <w:t>15.5%</w:t>
            </w:r>
          </w:p>
        </w:tc>
      </w:tr>
      <w:tr>
        <w:tc>
          <w:tcPr>
            <w:tcW w:type="dxa" w:w="3600"/>
          </w:tcPr>
          <w:p>
            <w:r>
              <w:rPr>
                <w:sz w:val="18"/>
              </w:rPr>
              <w:t>≤ 10°</w:t>
            </w:r>
          </w:p>
        </w:tc>
        <w:tc>
          <w:tcPr>
            <w:tcW w:type="dxa" w:w="3600"/>
          </w:tcPr>
          <w:p>
            <w:r>
              <w:rPr>
                <w:sz w:val="18"/>
              </w:rPr>
              <w:t>31.6%</w:t>
            </w:r>
          </w:p>
        </w:tc>
      </w:tr>
      <w:tr>
        <w:tc>
          <w:tcPr>
            <w:tcW w:type="dxa" w:w="3600"/>
          </w:tcPr>
          <w:p>
            <w:r>
              <w:rPr>
                <w:sz w:val="18"/>
              </w:rPr>
              <w:t>≤ 20°</w:t>
            </w:r>
          </w:p>
        </w:tc>
        <w:tc>
          <w:tcPr>
            <w:tcW w:type="dxa" w:w="3600"/>
          </w:tcPr>
          <w:p>
            <w:r>
              <w:rPr>
                <w:sz w:val="18"/>
              </w:rPr>
              <w:t>62.2%</w:t>
            </w:r>
          </w:p>
        </w:tc>
      </w:tr>
    </w:tbl>
    <w:p/>
    <w:p>
      <w:pPr>
        <w:spacing w:after="120"/>
      </w:pPr>
      <w:r>
        <w:t>The close-range phase delivers only 15.5% feasibility within the X-band half-cone — a factor of six reduction compared to the far-range phase. This is a direct consequence of the geometry: at close range the target and Earth directions are no longer approximately perpendicular, and the separation oscillates wildly over each orbital period.</w:t>
      </w:r>
    </w:p>
    <w:p>
      <w:pPr>
        <w:pStyle w:val="Heading2"/>
      </w:pPr>
      <w:r>
        <w:rPr>
          <w:color w:val="334155"/>
        </w:rPr>
        <w:t>3.4 90° crossing periodicity and ConOps window scheduling</w:t>
      </w:r>
    </w:p>
    <w:p>
      <w:pPr>
        <w:spacing w:after="120"/>
      </w:pPr>
      <w:r>
        <w:t>Feasibility windows around the X-band threshold correspond to epochs at which the Earth–Target separation crosses through the [85.5°, 94.5°] band. The relevant planning metric is the 90° crossing: the instant at which the separation equals exactly 90° and antenna error is identically zero.</w:t>
      </w:r>
    </w:p>
    <w:tbl>
      <w:tblPr>
        <w:tblStyle w:val="TableGrid"/>
        <w:tblW w:type="auto" w:w="0"/>
        <w:tblLook w:firstColumn="1" w:firstRow="1" w:lastColumn="0" w:lastRow="0" w:noHBand="0" w:noVBand="1" w:val="04A0"/>
      </w:tblPr>
      <w:tblGrid>
        <w:gridCol w:w="4703"/>
        <w:gridCol w:w="4703"/>
      </w:tblGrid>
      <w:tr>
        <w:tc>
          <w:tcPr>
            <w:tcW w:type="dxa" w:w="5040"/>
            <w:shd w:fill="D1D5DB" w:color="auto" w:val="clear"/>
          </w:tcPr>
          <w:p>
            <w:pPr>
              <w:jc w:val="center"/>
            </w:pPr>
            <w:r>
              <w:rPr>
                <w:b/>
                <w:sz w:val="18"/>
              </w:rPr>
              <w:t>Metric</w:t>
            </w:r>
          </w:p>
        </w:tc>
        <w:tc>
          <w:tcPr>
            <w:tcW w:type="dxa" w:w="2880"/>
            <w:shd w:fill="D1D5DB" w:color="auto" w:val="clear"/>
          </w:tcPr>
          <w:p>
            <w:pPr>
              <w:jc w:val="center"/>
            </w:pPr>
            <w:r>
              <w:rPr>
                <w:b/>
                <w:sz w:val="18"/>
              </w:rPr>
              <w:t>Value</w:t>
            </w:r>
          </w:p>
        </w:tc>
      </w:tr>
      <w:tr>
        <w:tc>
          <w:tcPr>
            <w:tcW w:type="dxa" w:w="5040"/>
          </w:tcPr>
          <w:p>
            <w:r>
              <w:rPr>
                <w:sz w:val="18"/>
              </w:rPr>
              <w:t>Crossings of 90° in close range</w:t>
            </w:r>
          </w:p>
        </w:tc>
        <w:tc>
          <w:tcPr>
            <w:tcW w:type="dxa" w:w="2880"/>
          </w:tcPr>
          <w:p>
            <w:r>
              <w:rPr>
                <w:sz w:val="18"/>
              </w:rPr>
              <w:t>17 (over ~8 days)</w:t>
            </w:r>
          </w:p>
        </w:tc>
      </w:tr>
      <w:tr>
        <w:tc>
          <w:tcPr>
            <w:tcW w:type="dxa" w:w="5040"/>
          </w:tcPr>
          <w:p>
            <w:r>
              <w:rPr>
                <w:sz w:val="18"/>
              </w:rPr>
              <w:t>GEO synodic period (og3 dataset)</w:t>
            </w:r>
          </w:p>
        </w:tc>
        <w:tc>
          <w:tcPr>
            <w:tcW w:type="dxa" w:w="2880"/>
          </w:tcPr>
          <w:p>
            <w:r>
              <w:rPr>
                <w:sz w:val="18"/>
              </w:rPr>
              <w:t>≈ 23.4 h</w:t>
            </w:r>
          </w:p>
        </w:tc>
      </w:tr>
      <w:tr>
        <w:tc>
          <w:tcPr>
            <w:tcW w:type="dxa" w:w="5040"/>
          </w:tcPr>
          <w:p>
            <w:r>
              <w:rPr>
                <w:sz w:val="18"/>
              </w:rPr>
              <w:t>Mean inter-crossing interval</w:t>
            </w:r>
          </w:p>
        </w:tc>
        <w:tc>
          <w:tcPr>
            <w:tcW w:type="dxa" w:w="2880"/>
          </w:tcPr>
          <w:p>
            <w:r>
              <w:rPr>
                <w:sz w:val="18"/>
              </w:rPr>
              <w:t>≈ 11.7 h  (half-period)</w:t>
            </w:r>
          </w:p>
        </w:tc>
      </w:tr>
      <w:tr>
        <w:tc>
          <w:tcPr>
            <w:tcW w:type="dxa" w:w="5040"/>
          </w:tcPr>
          <w:p>
            <w:r>
              <w:rPr>
                <w:sz w:val="18"/>
              </w:rPr>
              <w:t>Maximum inter-crossing gap</w:t>
            </w:r>
          </w:p>
        </w:tc>
        <w:tc>
          <w:tcPr>
            <w:tcW w:type="dxa" w:w="2880"/>
          </w:tcPr>
          <w:p>
            <w:r>
              <w:rPr>
                <w:sz w:val="18"/>
              </w:rPr>
              <w:t>14.9 h</w:t>
            </w:r>
          </w:p>
        </w:tc>
      </w:tr>
      <w:tr>
        <w:tc>
          <w:tcPr>
            <w:tcW w:type="dxa" w:w="5040"/>
          </w:tcPr>
          <w:p>
            <w:r>
              <w:rPr>
                <w:sz w:val="18"/>
              </w:rPr>
              <w:t>6-hour ConOps windows assessed</w:t>
            </w:r>
          </w:p>
        </w:tc>
        <w:tc>
          <w:tcPr>
            <w:tcW w:type="dxa" w:w="2880"/>
          </w:tcPr>
          <w:p>
            <w:r>
              <w:rPr>
                <w:sz w:val="18"/>
              </w:rPr>
              <w:t>32</w:t>
            </w:r>
          </w:p>
        </w:tc>
      </w:tr>
      <w:tr>
        <w:tc>
          <w:tcPr>
            <w:tcW w:type="dxa" w:w="5040"/>
          </w:tcPr>
          <w:p>
            <w:r>
              <w:rPr>
                <w:sz w:val="18"/>
              </w:rPr>
              <w:t>Windows with 90° crossing within 25 min</w:t>
            </w:r>
          </w:p>
        </w:tc>
        <w:tc>
          <w:tcPr>
            <w:tcW w:type="dxa" w:w="2880"/>
          </w:tcPr>
          <w:p>
            <w:r>
              <w:rPr>
                <w:sz w:val="18"/>
              </w:rPr>
              <w:t>0 (0%)</w:t>
            </w:r>
          </w:p>
        </w:tc>
      </w:tr>
    </w:tbl>
    <w:p/>
    <w:p>
      <w:pPr>
        <w:spacing w:after="120"/>
      </w:pPr>
      <w:r>
        <w:t>The maximum inter-crossing gap of 14.9 hours is more than twice the 6-hour ConOps window interval. This means that in the worst case, two full 6-hour cycles — 12 hours — pass without any X-band feasibility opportunity. Furthermore, not a single 6-hour window boundary falls within 25 minutes of a 90° crossing, confirming that fixed-cadence scheduling cannot guarantee X-band link availability at close range.</w:t>
      </w:r>
    </w:p>
    <w:p>
      <w:pPr>
        <w:spacing w:after="120"/>
      </w:pPr>
      <w:r>
        <w:t>The practical implication is significant: X-band combined Earth+Target pointing in the close-range phase cannot be scheduled on a rigid 6-hour grid. Instead, ground contact opportunities must be identified dynamically from the predicted angular separation timeline, and the 25-minute observation slot must be aligned to a crossing event. This requires either an adaptive ConOps with variable-epoch windows, or acceptance of elevated pointing loss (and reduced link margin) during fixed-schedule contacts.</w:t>
      </w:r>
    </w:p>
    <w:p>
      <w:pPr>
        <w:spacing w:after="120"/>
      </w:pPr>
      <w:r>
        <w:t>Alternatively, given that the far-range phase delivers 92.7% X-band feasibility, the mission could consider concentrating X-band downlink sessions during the far-range approach and relaxing the combined-pointing requirement during close range, relying instead on single-axis pointing (Earth-only or target-only) for those contacts.</w:t>
      </w:r>
    </w:p>
    <w:p>
      <w:pPr>
        <w:spacing w:after="120"/>
      </w:pPr>
      <w:r>
        <w:t>RCS manoeuvre context: 44 RCS attitude correction events occur exclusively in the close-range phase (days 16.4–23.2), introducing periodic attitude disturbances that further constrain window scheduling during the most geometrically difficult part of the mission.</w:t>
      </w:r>
    </w:p>
    <w:p>
      <w:pPr>
        <w:pStyle w:val="Heading1"/>
      </w:pPr>
      <w:r>
        <w:rPr>
          <w:color w:val="1E293B"/>
        </w:rPr>
        <w:t>4. Optimal Slew: Which Mode to Transition From?</w:t>
      </w:r>
    </w:p>
    <w:p>
      <w:pPr>
        <w:spacing w:after="120"/>
      </w:pPr>
      <w:r>
        <w:t>Combined Earth+Target pointing is entered from either Mode 1 (Target+Sun) or Mode 2 (Nadir+Sun). The eigenaxis slew angle — the minimum-path rotation required to transition into the combined attitude — determines how much of the 25-minute window is consumed by the attitude manoeuvre. The combined attitude is defined with +Z → target (exact) and +Y → Earth direction projected onto the plane orthogonal to +Z.</w:t>
      </w:r>
    </w:p>
    <w:tbl>
      <w:tblPr>
        <w:tblStyle w:val="TableGrid"/>
        <w:tblW w:type="auto" w:w="0"/>
        <w:tblLook w:firstColumn="1" w:firstRow="1" w:lastColumn="0" w:lastRow="0" w:noHBand="0" w:noVBand="1" w:val="04A0"/>
      </w:tblPr>
      <w:tblGrid>
        <w:gridCol w:w="3135"/>
        <w:gridCol w:w="3135"/>
        <w:gridCol w:w="3135"/>
      </w:tblGrid>
      <w:tr>
        <w:tc>
          <w:tcPr>
            <w:tcW w:type="dxa" w:w="3600"/>
            <w:shd w:fill="D1D5DB" w:color="auto" w:val="clear"/>
          </w:tcPr>
          <w:p>
            <w:pPr>
              <w:jc w:val="center"/>
            </w:pPr>
            <w:r>
              <w:rPr>
                <w:b/>
                <w:sz w:val="18"/>
              </w:rPr>
              <w:t>Metric</w:t>
            </w:r>
          </w:p>
        </w:tc>
        <w:tc>
          <w:tcPr>
            <w:tcW w:type="dxa" w:w="2592"/>
            <w:shd w:fill="D1D5DB" w:color="auto" w:val="clear"/>
          </w:tcPr>
          <w:p>
            <w:pPr>
              <w:jc w:val="center"/>
            </w:pPr>
            <w:r>
              <w:rPr>
                <w:b/>
                <w:sz w:val="18"/>
              </w:rPr>
              <w:t>Mode 1 → Combined</w:t>
            </w:r>
          </w:p>
        </w:tc>
        <w:tc>
          <w:tcPr>
            <w:tcW w:type="dxa" w:w="2592"/>
            <w:shd w:fill="D1D5DB" w:color="auto" w:val="clear"/>
          </w:tcPr>
          <w:p>
            <w:pPr>
              <w:jc w:val="center"/>
            </w:pPr>
            <w:r>
              <w:rPr>
                <w:b/>
                <w:sz w:val="18"/>
              </w:rPr>
              <w:t>Mode 2 → Combined</w:t>
            </w:r>
          </w:p>
        </w:tc>
      </w:tr>
      <w:tr>
        <w:tc>
          <w:tcPr>
            <w:tcW w:type="dxa" w:w="3600"/>
          </w:tcPr>
          <w:p>
            <w:r>
              <w:rPr>
                <w:sz w:val="18"/>
              </w:rPr>
              <w:t>Mean slew</w:t>
            </w:r>
          </w:p>
        </w:tc>
        <w:tc>
          <w:tcPr>
            <w:tcW w:type="dxa" w:w="2592"/>
          </w:tcPr>
          <w:p>
            <w:r>
              <w:rPr>
                <w:sz w:val="18"/>
              </w:rPr>
              <w:t>96.8°</w:t>
            </w:r>
          </w:p>
        </w:tc>
        <w:tc>
          <w:tcPr>
            <w:tcW w:type="dxa" w:w="2592"/>
          </w:tcPr>
          <w:p>
            <w:r>
              <w:rPr>
                <w:sz w:val="18"/>
              </w:rPr>
              <w:t>97.8°</w:t>
            </w:r>
          </w:p>
        </w:tc>
      </w:tr>
      <w:tr>
        <w:tc>
          <w:tcPr>
            <w:tcW w:type="dxa" w:w="3600"/>
          </w:tcPr>
          <w:p>
            <w:r>
              <w:rPr>
                <w:sz w:val="18"/>
              </w:rPr>
              <w:t>Minimum slew</w:t>
            </w:r>
          </w:p>
        </w:tc>
        <w:tc>
          <w:tcPr>
            <w:tcW w:type="dxa" w:w="2592"/>
          </w:tcPr>
          <w:p>
            <w:r>
              <w:rPr>
                <w:sz w:val="18"/>
              </w:rPr>
              <w:t>0°</w:t>
            </w:r>
          </w:p>
        </w:tc>
        <w:tc>
          <w:tcPr>
            <w:tcW w:type="dxa" w:w="2592"/>
          </w:tcPr>
          <w:p>
            <w:r>
              <w:rPr>
                <w:sz w:val="18"/>
              </w:rPr>
              <w:t>0°</w:t>
            </w:r>
          </w:p>
        </w:tc>
      </w:tr>
      <w:tr>
        <w:tc>
          <w:tcPr>
            <w:tcW w:type="dxa" w:w="3600"/>
          </w:tcPr>
          <w:p>
            <w:r>
              <w:rPr>
                <w:sz w:val="18"/>
              </w:rPr>
              <w:t>Maximum slew</w:t>
            </w:r>
          </w:p>
        </w:tc>
        <w:tc>
          <w:tcPr>
            <w:tcW w:type="dxa" w:w="2592"/>
          </w:tcPr>
          <w:p>
            <w:r>
              <w:rPr>
                <w:sz w:val="18"/>
              </w:rPr>
              <w:t>180°</w:t>
            </w:r>
          </w:p>
        </w:tc>
        <w:tc>
          <w:tcPr>
            <w:tcW w:type="dxa" w:w="2592"/>
          </w:tcPr>
          <w:p>
            <w:r>
              <w:rPr>
                <w:sz w:val="18"/>
              </w:rPr>
              <w:t>180°</w:t>
            </w:r>
          </w:p>
        </w:tc>
      </w:tr>
      <w:tr>
        <w:tc>
          <w:tcPr>
            <w:tcW w:type="dxa" w:w="3600"/>
          </w:tcPr>
          <w:p>
            <w:r>
              <w:rPr>
                <w:sz w:val="18"/>
              </w:rPr>
              <w:t>Mode cheaper</w:t>
            </w:r>
          </w:p>
        </w:tc>
        <w:tc>
          <w:tcPr>
            <w:tcW w:type="dxa" w:w="2592"/>
          </w:tcPr>
          <w:p>
            <w:r>
              <w:rPr>
                <w:sz w:val="18"/>
              </w:rPr>
              <w:t>57.1% of timeline</w:t>
            </w:r>
          </w:p>
        </w:tc>
        <w:tc>
          <w:tcPr>
            <w:tcW w:type="dxa" w:w="2592"/>
          </w:tcPr>
          <w:p>
            <w:r>
              <w:rPr>
                <w:sz w:val="18"/>
              </w:rPr>
              <w:t>42.9% of timeline</w:t>
            </w:r>
          </w:p>
        </w:tc>
      </w:tr>
    </w:tbl>
    <w:p/>
    <w:p>
      <w:pPr>
        <w:spacing w:after="120"/>
      </w:pPr>
      <w:r>
        <w:t>Mode 1 is cheaper than Mode 2 for 57.1% of the mission timeline — a modest but consistent advantage. The physical explanation: Mode 1 already has +Z on the target, so the combined-attitude transition is essentially a yaw rotation about +Z to swing +Y toward Earth while the primary boresight remains fixed. The slew cost is driven solely by the misalignment of the +Y direction from the Earth projection.</w:t>
      </w:r>
    </w:p>
    <w:p>
      <w:pPr>
        <w:spacing w:after="120"/>
      </w:pPr>
      <w:r>
        <w:t>Mode 2 carries a larger average cost because +Z must first be re-pointed from nadir to the target — a rotation of approximately 90° at GEO range — before +Y can be positioned toward Earth. This is a large-angle coupled manoeuvre that systematically incurs higher slew angles.</w:t>
      </w:r>
    </w:p>
    <w:p>
      <w:pPr>
        <w:spacing w:after="120"/>
      </w:pPr>
      <w:r>
        <w:t>ConOps implication: if the spacecraft is in Mode 1 immediately before a combined-pointing window, the transition into and out of the combined attitude consumes less of the 25-minute budget. If transitioning from Mode 2, the manoeuvre budget allocation in the ConOps (typically 5 min in + 15 min link + 5 min out) may be insufficient for a subset of windows, particularly during close-range phases where the slew can approach 180°.</w:t>
      </w:r>
    </w:p>
    <w:p>
      <w:pPr>
        <w:pStyle w:val="Heading1"/>
      </w:pPr>
      <w:r>
        <w:rPr>
          <w:color w:val="1E293B"/>
        </w:rPr>
        <w:t>5. Thermal and Operational Sun-Exposure Constraints</w:t>
      </w:r>
    </w:p>
    <w:p>
      <w:pPr>
        <w:spacing w:after="120"/>
      </w:pPr>
      <w:r>
        <w:t>Sun-exposure constraints are evaluated for two sensitive instruments across both operational modes throughout the full mission timeline. The analysis uses the simulation field angle_sunFromMRFaxes_deg, which gives the instantaneous angle between each body axis and the solar direction expressed in the body frame.</w:t>
      </w:r>
    </w:p>
    <w:p>
      <w:pPr>
        <w:pStyle w:val="Heading2"/>
      </w:pPr>
      <w:r>
        <w:rPr>
          <w:color w:val="334155"/>
        </w:rPr>
        <w:t>5.1 Camera sun exclusion (+Z axis, 30° half-cone, TBC)</w:t>
      </w:r>
    </w:p>
    <w:p>
      <w:pPr>
        <w:spacing w:after="120"/>
      </w:pPr>
      <w:r>
        <w:t>The science camera is mounted along the +Z body axis. The sun exclusion half-cone is set at 30° (TBC — instrument datasheet value required). A violation is any epoch at which the Sun falls within 30° of the camera boresight.</w:t>
      </w:r>
    </w:p>
    <w:tbl>
      <w:tblPr>
        <w:tblStyle w:val="TableGrid"/>
        <w:tblW w:type="auto" w:w="0"/>
        <w:tblLook w:firstColumn="1" w:firstRow="1" w:lastColumn="0" w:lastRow="0" w:noHBand="0" w:noVBand="1" w:val="04A0"/>
      </w:tblPr>
      <w:tblGrid>
        <w:gridCol w:w="2351"/>
        <w:gridCol w:w="2351"/>
        <w:gridCol w:w="2351"/>
        <w:gridCol w:w="2351"/>
      </w:tblGrid>
      <w:tr>
        <w:tc>
          <w:tcPr>
            <w:tcW w:type="dxa" w:w="2880"/>
            <w:shd w:fill="D1D5DB" w:color="auto" w:val="clear"/>
          </w:tcPr>
          <w:p>
            <w:pPr>
              <w:jc w:val="center"/>
            </w:pPr>
            <w:r>
              <w:rPr>
                <w:b/>
                <w:sz w:val="18"/>
              </w:rPr>
              <w:t>Phase</w:t>
            </w:r>
          </w:p>
        </w:tc>
        <w:tc>
          <w:tcPr>
            <w:tcW w:type="dxa" w:w="2304"/>
            <w:shd w:fill="D1D5DB" w:color="auto" w:val="clear"/>
          </w:tcPr>
          <w:p>
            <w:pPr>
              <w:jc w:val="center"/>
            </w:pPr>
            <w:r>
              <w:rPr>
                <w:b/>
                <w:sz w:val="18"/>
              </w:rPr>
              <w:t>Mode 1 violation</w:t>
            </w:r>
          </w:p>
        </w:tc>
        <w:tc>
          <w:tcPr>
            <w:tcW w:type="dxa" w:w="2304"/>
            <w:shd w:fill="D1D5DB" w:color="auto" w:val="clear"/>
          </w:tcPr>
          <w:p>
            <w:pPr>
              <w:jc w:val="center"/>
            </w:pPr>
            <w:r>
              <w:rPr>
                <w:b/>
                <w:sz w:val="18"/>
              </w:rPr>
              <w:t>Mode 2 violation</w:t>
            </w:r>
          </w:p>
        </w:tc>
        <w:tc>
          <w:tcPr>
            <w:tcW w:type="dxa" w:w="2016"/>
            <w:shd w:fill="D1D5DB" w:color="auto" w:val="clear"/>
          </w:tcPr>
          <w:p>
            <w:pPr>
              <w:jc w:val="center"/>
            </w:pPr>
            <w:r>
              <w:rPr>
                <w:b/>
                <w:sz w:val="18"/>
              </w:rPr>
              <w:t>Worst case</w:t>
            </w:r>
          </w:p>
        </w:tc>
      </w:tr>
      <w:tr>
        <w:tc>
          <w:tcPr>
            <w:tcW w:type="dxa" w:w="2880"/>
          </w:tcPr>
          <w:p>
            <w:r>
              <w:rPr>
                <w:sz w:val="18"/>
              </w:rPr>
              <w:t>Far range   (0–15.2 d)</w:t>
            </w:r>
          </w:p>
        </w:tc>
        <w:tc>
          <w:tcPr>
            <w:tcW w:type="dxa" w:w="2304"/>
          </w:tcPr>
          <w:p>
            <w:r>
              <w:rPr>
                <w:sz w:val="18"/>
              </w:rPr>
              <w:t>17.3%</w:t>
            </w:r>
          </w:p>
        </w:tc>
        <w:tc>
          <w:tcPr>
            <w:tcW w:type="dxa" w:w="2304"/>
          </w:tcPr>
          <w:p>
            <w:r>
              <w:rPr>
                <w:sz w:val="18"/>
              </w:rPr>
              <w:t>33.0%</w:t>
            </w:r>
          </w:p>
        </w:tc>
        <w:tc>
          <w:tcPr>
            <w:tcW w:type="dxa" w:w="2016"/>
          </w:tcPr>
          <w:p>
            <w:r>
              <w:rPr>
                <w:sz w:val="18"/>
              </w:rPr>
              <w:t>Mode 2</w:t>
            </w:r>
          </w:p>
        </w:tc>
      </w:tr>
      <w:tr>
        <w:tc>
          <w:tcPr>
            <w:tcW w:type="dxa" w:w="2880"/>
          </w:tcPr>
          <w:p>
            <w:r>
              <w:rPr>
                <w:sz w:val="18"/>
              </w:rPr>
              <w:t>Close range (15.2–23.2 d)</w:t>
            </w:r>
          </w:p>
        </w:tc>
        <w:tc>
          <w:tcPr>
            <w:tcW w:type="dxa" w:w="2304"/>
          </w:tcPr>
          <w:p>
            <w:r>
              <w:rPr>
                <w:sz w:val="18"/>
              </w:rPr>
              <w:t>3.1%</w:t>
            </w:r>
          </w:p>
        </w:tc>
        <w:tc>
          <w:tcPr>
            <w:tcW w:type="dxa" w:w="2304"/>
          </w:tcPr>
          <w:p>
            <w:r>
              <w:rPr>
                <w:sz w:val="18"/>
              </w:rPr>
              <w:t>33.7%</w:t>
            </w:r>
          </w:p>
        </w:tc>
        <w:tc>
          <w:tcPr>
            <w:tcW w:type="dxa" w:w="2016"/>
          </w:tcPr>
          <w:p>
            <w:r>
              <w:rPr>
                <w:sz w:val="18"/>
              </w:rPr>
              <w:t>Mode 2</w:t>
            </w:r>
          </w:p>
        </w:tc>
      </w:tr>
    </w:tbl>
    <w:p/>
    <w:p>
      <w:pPr>
        <w:spacing w:after="120"/>
      </w:pPr>
      <w:r>
        <w:t>Mode 2 is substantially worse for camera sun exclusion in both phases, with violation rates approximately twice those of Mode 1 in the far range and ten times higher in the close range. This is a direct consequence of the Mode 2 nadir-pointing attitude: the +Z boresight is fixed to the nadir direction, which oscillates relative to the Sun at the GEO orbital period (≈ 23.4 h) without the geometric relief afforded by target proximity. In Mode 1, the +Z boresight tracks the target — a direction that gradually moves away from the Sun as the along-track separation closes in the close-range phase, reducing violations to just 3.1%.</w:t>
      </w:r>
    </w:p>
    <w:p>
      <w:pPr>
        <w:spacing w:after="120"/>
      </w:pPr>
      <w:r>
        <w:t>Mode 2 represents the thermal worst case for the camera across the full mission. The consistently high violation rate (~33%) in both phases suggests a near-periodic conflict between the nadir direction and the Sun-avoidance cone at this GEO geometry and epoch.</w:t>
      </w:r>
    </w:p>
    <w:p>
      <w:pPr>
        <w:pStyle w:val="Heading2"/>
      </w:pPr>
      <w:r>
        <w:rPr>
          <w:color w:val="334155"/>
        </w:rPr>
        <w:t>5.2 Star tracker (STR) sun blinding (+X axis, 35° half-cone, TBC)</w:t>
      </w:r>
    </w:p>
    <w:p>
      <w:pPr>
        <w:spacing w:after="120"/>
      </w:pPr>
      <w:r>
        <w:t>The STR boresight is assumed to lie along the +X body axis (TBC — confirmation required from the platform team). The exclusion half-cone is set at 35°, representative of state-of-the-art star trackers in the GEO thermal environment.</w:t>
      </w:r>
    </w:p>
    <w:tbl>
      <w:tblPr>
        <w:tblStyle w:val="TableGrid"/>
        <w:tblW w:type="auto" w:w="0"/>
        <w:tblLook w:firstColumn="1" w:firstRow="1" w:lastColumn="0" w:lastRow="0" w:noHBand="0" w:noVBand="1" w:val="04A0"/>
      </w:tblPr>
      <w:tblGrid>
        <w:gridCol w:w="3135"/>
        <w:gridCol w:w="3135"/>
        <w:gridCol w:w="3135"/>
      </w:tblGrid>
      <w:tr>
        <w:tc>
          <w:tcPr>
            <w:tcW w:type="dxa" w:w="2880"/>
            <w:shd w:fill="D1D5DB" w:color="auto" w:val="clear"/>
          </w:tcPr>
          <w:p>
            <w:pPr>
              <w:jc w:val="center"/>
            </w:pPr>
            <w:r>
              <w:rPr>
                <w:b/>
                <w:sz w:val="18"/>
              </w:rPr>
              <w:t>Phase</w:t>
            </w:r>
          </w:p>
        </w:tc>
        <w:tc>
          <w:tcPr>
            <w:tcW w:type="dxa" w:w="2304"/>
            <w:shd w:fill="D1D5DB" w:color="auto" w:val="clear"/>
          </w:tcPr>
          <w:p>
            <w:pPr>
              <w:jc w:val="center"/>
            </w:pPr>
            <w:r>
              <w:rPr>
                <w:b/>
                <w:sz w:val="18"/>
              </w:rPr>
              <w:t>Mode 1 violation</w:t>
            </w:r>
          </w:p>
        </w:tc>
        <w:tc>
          <w:tcPr>
            <w:tcW w:type="dxa" w:w="2304"/>
            <w:shd w:fill="D1D5DB" w:color="auto" w:val="clear"/>
          </w:tcPr>
          <w:p>
            <w:pPr>
              <w:jc w:val="center"/>
            </w:pPr>
            <w:r>
              <w:rPr>
                <w:b/>
                <w:sz w:val="18"/>
              </w:rPr>
              <w:t>Mode 2 violation</w:t>
            </w:r>
          </w:p>
        </w:tc>
      </w:tr>
      <w:tr>
        <w:tc>
          <w:tcPr>
            <w:tcW w:type="dxa" w:w="2880"/>
          </w:tcPr>
          <w:p>
            <w:r>
              <w:rPr>
                <w:sz w:val="18"/>
              </w:rPr>
              <w:t>Far range   (0–15.2 d)</w:t>
            </w:r>
          </w:p>
        </w:tc>
        <w:tc>
          <w:tcPr>
            <w:tcW w:type="dxa" w:w="2304"/>
          </w:tcPr>
          <w:p>
            <w:r>
              <w:rPr>
                <w:sz w:val="18"/>
              </w:rPr>
              <w:t>0.0%</w:t>
            </w:r>
          </w:p>
        </w:tc>
        <w:tc>
          <w:tcPr>
            <w:tcW w:type="dxa" w:w="2304"/>
          </w:tcPr>
          <w:p>
            <w:r>
              <w:rPr>
                <w:sz w:val="18"/>
              </w:rPr>
              <w:t>0.0%</w:t>
            </w:r>
          </w:p>
        </w:tc>
      </w:tr>
      <w:tr>
        <w:tc>
          <w:tcPr>
            <w:tcW w:type="dxa" w:w="2880"/>
          </w:tcPr>
          <w:p>
            <w:r>
              <w:rPr>
                <w:sz w:val="18"/>
              </w:rPr>
              <w:t>Close range (15.2–23.2 d)</w:t>
            </w:r>
          </w:p>
        </w:tc>
        <w:tc>
          <w:tcPr>
            <w:tcW w:type="dxa" w:w="2304"/>
          </w:tcPr>
          <w:p>
            <w:r>
              <w:rPr>
                <w:sz w:val="18"/>
              </w:rPr>
              <w:t>0.1%</w:t>
            </w:r>
          </w:p>
        </w:tc>
        <w:tc>
          <w:tcPr>
            <w:tcW w:type="dxa" w:w="2304"/>
          </w:tcPr>
          <w:p>
            <w:r>
              <w:rPr>
                <w:sz w:val="18"/>
              </w:rPr>
              <w:t>0.2%</w:t>
            </w:r>
          </w:p>
        </w:tc>
      </w:tr>
    </w:tbl>
    <w:p/>
    <w:p>
      <w:pPr>
        <w:spacing w:after="120"/>
      </w:pPr>
      <w:r>
        <w:t>STR sun blinding is negligible in both modes across the full mission timeline. The maximum violation rate is 0.2% (Mode 2, close range), corresponding to approximately 5 data points out of 2,304. This result is consistent with the GEO geometry: the +X body axis, orthogonal to both the target direction and the solar array normal, maintains adequate Sun separation throughout the rendezvous profile.</w:t>
      </w:r>
    </w:p>
    <w:p>
      <w:pPr>
        <w:pStyle w:val="Heading2"/>
      </w:pPr>
      <w:r>
        <w:rPr>
          <w:color w:val="334155"/>
        </w:rPr>
        <w:t>5.3 Mode selection guidance from thermal analysis</w:t>
      </w:r>
    </w:p>
    <w:p>
      <w:pPr>
        <w:spacing w:after="120"/>
      </w:pPr>
      <w:r>
        <w:t>The thermal analysis reinforces Mode 1 as the preferred operational attitude:</w:t>
      </w:r>
    </w:p>
    <w:p>
      <w:pPr>
        <w:pStyle w:val="ListBullet"/>
        <w:spacing w:after="60"/>
      </w:pPr>
      <w:r>
        <w:t>Camera: Mode 1 delivers far fewer violations in both phases (17.3% vs 33.0% far range; 3.1% vs 33.7% close range). Mode 2 should be avoided if camera sun-exclusion margins are tight.</w:t>
      </w:r>
    </w:p>
    <w:p>
      <w:pPr>
        <w:pStyle w:val="ListBullet"/>
        <w:spacing w:after="60"/>
      </w:pPr>
      <w:r>
        <w:t>STR: both modes are thermally equivalent — violations are negligible throughout.</w:t>
      </w:r>
    </w:p>
    <w:p>
      <w:pPr>
        <w:pStyle w:val="ListBullet"/>
        <w:spacing w:after="60"/>
      </w:pPr>
      <w:r>
        <w:t>The thermal worst case is Mode 2 in the close-range phase for the camera. Mission operators should note that the camera exclusion threshold of 30° is TBC; a tighter threshold would increase Mode 2 violations further while leaving Mode 1 close-range violations (3.1%) largely unaffected.</w:t>
      </w:r>
    </w:p>
    <w:p>
      <w:pPr>
        <w:pStyle w:val="Heading1"/>
      </w:pPr>
      <w:r>
        <w:rPr>
          <w:color w:val="1E293B"/>
        </w:rPr>
        <w:t>6. Conclusion</w:t>
      </w:r>
    </w:p>
    <w:p>
      <w:pPr>
        <w:spacing w:after="120"/>
      </w:pPr>
      <w:r>
        <w:t>The og3 nominal simulation dataset (6,691 points, Δt = 300 s, 23.23-day timeline) yields the following findings for X-band combined Earth+Target pointing feasibility:</w:t>
      </w:r>
    </w:p>
    <w:p>
      <w:pPr>
        <w:pStyle w:val="ListBullet"/>
        <w:spacing w:after="60"/>
      </w:pPr>
      <w:r>
        <w:t>1. Far-range phase (0–15.2 d): X-band combined pointing is feasible for 92.7% of epochs (antenna error ≤ 4.5°). The Earth–Target separation is tightly bounded near 90° (85.1°–127.2°, mean 91.3°), naturally matching the 90° camera-antenna body geometry. The far-range phase is the preferred interval for X-band downlink.</w:t>
      </w:r>
    </w:p>
    <w:p>
      <w:pPr>
        <w:pStyle w:val="ListBullet"/>
        <w:spacing w:after="60"/>
      </w:pPr>
      <w:r>
        <w:t>2. Close-range phase (15.2–23.2 d): feasibility drops sharply to 15.5% within the X-band cone. The separation oscillates over 5.9°–177.2°, and the maximum gap between 90° crossings is 14.9 h. Fixed 6-hour-cadence scheduling achieves 0% probability of a crossing within the 25-minute slot. Combined X-band pointing at close range requires adaptive, crossing-aligned window scheduling.</w:t>
      </w:r>
    </w:p>
    <w:p>
      <w:pPr>
        <w:pStyle w:val="ListBullet"/>
        <w:spacing w:after="60"/>
      </w:pPr>
      <w:r>
        <w:t>3. Mode 1 (Target+Sun) is the exclusive candidate for combined pointing. Mode 2 (Nadir+Sun) achieves 0% effective feasibility within the X-band cone. Combined pointing from Mode 2 is analytically infeasible at this mission geometry.</w:t>
      </w:r>
    </w:p>
    <w:p>
      <w:pPr>
        <w:pStyle w:val="ListBullet"/>
        <w:spacing w:after="60"/>
      </w:pPr>
      <w:r>
        <w:t>4. Slew cost: Mode 1 → Combined is cheaper than Mode 2 → Combined for 57.1% of the timeline (means 96.8° vs 97.8°). If combined pointing windows follow directly from Mode 1 operations, the manoeuvre budget is marginally reduced.</w:t>
      </w:r>
    </w:p>
    <w:p>
      <w:pPr>
        <w:pStyle w:val="ListBullet"/>
        <w:spacing w:after="60"/>
      </w:pPr>
      <w:r>
        <w:t>5. Thermal: Mode 1 is thermally preferable. Camera sun-exclusion violations are 17.3%/3.1% (far/close) for Mode 1 vs 33.0%/33.7% for Mode 2. STR violations are negligible in both modes.</w:t>
      </w:r>
    </w:p>
    <w:p>
      <w:pPr>
        <w:pStyle w:val="Heading1"/>
      </w:pPr>
      <w:r>
        <w:rPr>
          <w:color w:val="1E293B"/>
        </w:rPr>
        <w:t>7. Open Items</w:t>
      </w:r>
    </w:p>
    <w:tbl>
      <w:tblPr>
        <w:tblStyle w:val="TableGrid"/>
        <w:tblW w:type="auto" w:w="0"/>
        <w:tblLook w:firstColumn="1" w:firstRow="1" w:lastColumn="0" w:lastRow="0" w:noHBand="0" w:noVBand="1" w:val="04A0"/>
      </w:tblPr>
      <w:tblGrid>
        <w:gridCol w:w="3135"/>
        <w:gridCol w:w="3135"/>
        <w:gridCol w:w="3135"/>
      </w:tblGrid>
      <w:tr>
        <w:tc>
          <w:tcPr>
            <w:tcW w:type="dxa" w:w="2592"/>
            <w:shd w:fill="D1D5DB" w:color="auto" w:val="clear"/>
          </w:tcPr>
          <w:p>
            <w:pPr>
              <w:jc w:val="center"/>
            </w:pPr>
            <w:r>
              <w:rPr>
                <w:b/>
                <w:sz w:val="18"/>
              </w:rPr>
              <w:t>Item</w:t>
            </w:r>
          </w:p>
        </w:tc>
        <w:tc>
          <w:tcPr>
            <w:tcW w:type="dxa" w:w="1152"/>
            <w:shd w:fill="D1D5DB" w:color="auto" w:val="clear"/>
          </w:tcPr>
          <w:p>
            <w:pPr>
              <w:jc w:val="center"/>
            </w:pPr>
            <w:r>
              <w:rPr>
                <w:b/>
                <w:sz w:val="18"/>
              </w:rPr>
              <w:t>Status</w:t>
            </w:r>
          </w:p>
        </w:tc>
        <w:tc>
          <w:tcPr>
            <w:tcW w:type="dxa" w:w="5328"/>
            <w:shd w:fill="D1D5DB" w:color="auto" w:val="clear"/>
          </w:tcPr>
          <w:p>
            <w:pPr>
              <w:jc w:val="center"/>
            </w:pPr>
            <w:r>
              <w:rPr>
                <w:b/>
                <w:sz w:val="18"/>
              </w:rPr>
              <w:t>Notes</w:t>
            </w:r>
          </w:p>
        </w:tc>
      </w:tr>
      <w:tr>
        <w:tc>
          <w:tcPr>
            <w:tcW w:type="dxa" w:w="2592"/>
          </w:tcPr>
          <w:p>
            <w:r>
              <w:rPr>
                <w:sz w:val="18"/>
              </w:rPr>
              <w:t>Camera sun exclusion half-cone</w:t>
            </w:r>
          </w:p>
        </w:tc>
        <w:tc>
          <w:tcPr>
            <w:tcW w:type="dxa" w:w="1152"/>
          </w:tcPr>
          <w:p>
            <w:r>
              <w:rPr>
                <w:sz w:val="18"/>
              </w:rPr>
              <w:t>TBC</w:t>
            </w:r>
          </w:p>
        </w:tc>
        <w:tc>
          <w:tcPr>
            <w:tcW w:type="dxa" w:w="5328"/>
          </w:tcPr>
          <w:p>
            <w:r>
              <w:rPr>
                <w:sz w:val="18"/>
              </w:rPr>
              <w:t>Assumed 30°; instrument datasheet value required. Tighter threshold increases Mode 2 violations.</w:t>
            </w:r>
          </w:p>
        </w:tc>
      </w:tr>
      <w:tr>
        <w:tc>
          <w:tcPr>
            <w:tcW w:type="dxa" w:w="2592"/>
          </w:tcPr>
          <w:p>
            <w:r>
              <w:rPr>
                <w:sz w:val="18"/>
              </w:rPr>
              <w:t>STR boresight axis</w:t>
            </w:r>
          </w:p>
        </w:tc>
        <w:tc>
          <w:tcPr>
            <w:tcW w:type="dxa" w:w="1152"/>
          </w:tcPr>
          <w:p>
            <w:r>
              <w:rPr>
                <w:sz w:val="18"/>
              </w:rPr>
              <w:t>TBC</w:t>
            </w:r>
          </w:p>
        </w:tc>
        <w:tc>
          <w:tcPr>
            <w:tcW w:type="dxa" w:w="5328"/>
          </w:tcPr>
          <w:p>
            <w:r>
              <w:rPr>
                <w:sz w:val="18"/>
              </w:rPr>
              <w:t>Assumed +X body axis; confirmation required from platform team.</w:t>
            </w:r>
          </w:p>
        </w:tc>
      </w:tr>
      <w:tr>
        <w:tc>
          <w:tcPr>
            <w:tcW w:type="dxa" w:w="2592"/>
          </w:tcPr>
          <w:p>
            <w:r>
              <w:rPr>
                <w:sz w:val="18"/>
              </w:rPr>
              <w:t>STR sun exclusion half-cone</w:t>
            </w:r>
          </w:p>
        </w:tc>
        <w:tc>
          <w:tcPr>
            <w:tcW w:type="dxa" w:w="1152"/>
          </w:tcPr>
          <w:p>
            <w:r>
              <w:rPr>
                <w:sz w:val="18"/>
              </w:rPr>
              <w:t>TBC</w:t>
            </w:r>
          </w:p>
        </w:tc>
        <w:tc>
          <w:tcPr>
            <w:tcW w:type="dxa" w:w="5328"/>
          </w:tcPr>
          <w:p>
            <w:r>
              <w:rPr>
                <w:sz w:val="18"/>
              </w:rPr>
              <w:t>Assumed 35° (GEO typical); confirmation required.</w:t>
            </w:r>
          </w:p>
        </w:tc>
      </w:tr>
      <w:tr>
        <w:tc>
          <w:tcPr>
            <w:tcW w:type="dxa" w:w="2592"/>
          </w:tcPr>
          <w:p>
            <w:r>
              <w:rPr>
                <w:sz w:val="18"/>
              </w:rPr>
              <w:t>X-band antenna gain pattern</w:t>
            </w:r>
          </w:p>
        </w:tc>
        <w:tc>
          <w:tcPr>
            <w:tcW w:type="dxa" w:w="1152"/>
          </w:tcPr>
          <w:p>
            <w:r>
              <w:rPr>
                <w:sz w:val="18"/>
              </w:rPr>
              <w:t>Open</w:t>
            </w:r>
          </w:p>
        </w:tc>
        <w:tc>
          <w:tcPr>
            <w:tcW w:type="dxa" w:w="5328"/>
          </w:tcPr>
          <w:p>
            <w:r>
              <w:rPr>
                <w:sz w:val="18"/>
              </w:rPr>
              <w:t>Replace scalar 4.5° half-cone threshold with full gain vs off-boresight angle when available.</w:t>
            </w:r>
          </w:p>
        </w:tc>
      </w:tr>
      <w:tr>
        <w:tc>
          <w:tcPr>
            <w:tcW w:type="dxa" w:w="2592"/>
          </w:tcPr>
          <w:p>
            <w:r>
              <w:rPr>
                <w:sz w:val="18"/>
              </w:rPr>
              <w:t>Close-range ConOps window strategy</w:t>
            </w:r>
          </w:p>
        </w:tc>
        <w:tc>
          <w:tcPr>
            <w:tcW w:type="dxa" w:w="1152"/>
          </w:tcPr>
          <w:p>
            <w:r>
              <w:rPr>
                <w:sz w:val="18"/>
              </w:rPr>
              <w:t>Open</w:t>
            </w:r>
          </w:p>
        </w:tc>
        <w:tc>
          <w:tcPr>
            <w:tcW w:type="dxa" w:w="5328"/>
          </w:tcPr>
          <w:p>
            <w:r>
              <w:rPr>
                <w:sz w:val="18"/>
              </w:rPr>
              <w:t>Adaptive crossing-aligned scheduling required. Identify epochs of 90° crossing and build variable-epoch contacts into the close-range ConOps plan.</w:t>
            </w:r>
          </w:p>
        </w:tc>
      </w:tr>
      <w:tr>
        <w:tc>
          <w:tcPr>
            <w:tcW w:type="dxa" w:w="2592"/>
          </w:tcPr>
          <w:p>
            <w:r>
              <w:rPr>
                <w:sz w:val="18"/>
              </w:rPr>
              <w:t>−Y antenna feasibility</w:t>
            </w:r>
          </w:p>
        </w:tc>
        <w:tc>
          <w:tcPr>
            <w:tcW w:type="dxa" w:w="1152"/>
          </w:tcPr>
          <w:p>
            <w:r>
              <w:rPr>
                <w:sz w:val="18"/>
              </w:rPr>
              <w:t>Open</w:t>
            </w:r>
          </w:p>
        </w:tc>
        <w:tc>
          <w:tcPr>
            <w:tcW w:type="dxa" w:w="5328"/>
          </w:tcPr>
          <w:p>
            <w:r>
              <w:rPr>
                <w:sz w:val="18"/>
              </w:rPr>
              <w:t>Analysis uses best of +Y/−Y. Confirm which panel is accessible at each mission phase.</w:t>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