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left"/>
        <w:rPr/>
      </w:pPr>
      <w:r>
        <w:rPr>
          <w:rFonts w:ascii="Calibri" w:hAnsi="Calibri"/>
          <w:b/>
          <w:color w:val="1f3964"/>
          <w:sz w:val="36"/>
        </w:rPr>
        <w:t xml:space="preserve">Mass Budget Assessment</w:t>
      </w:r>
      <w:r/>
    </w:p>
    <w:p>
      <w:pPr>
        <w:pBdr/>
        <w:spacing w:after="40" w:before="0"/>
        <w:ind/>
        <w:rPr/>
      </w:pPr>
      <w:r>
        <w:rPr>
          <w:rFonts w:ascii="Calibri" w:hAnsi="Calibri"/>
          <w:color w:val="404040"/>
          <w:sz w:val="24"/>
        </w:rPr>
        <w:t xml:space="preserve">OrbitGuard Assembly 3.2.2 — Thruster Configuration</w:t>
      </w:r>
      <w:r/>
    </w:p>
    <w:p>
      <w:pPr>
        <w:pBdr/>
        <w:spacing w:after="240" w:before="80"/>
        <w:ind/>
        <w:rPr/>
      </w:pPr>
      <w:r>
        <w:rPr>
          <w:rFonts w:ascii="Calibri" w:hAnsi="Calibri"/>
          <w:b/>
          <w:sz w:val="20"/>
        </w:rPr>
        <w:t xml:space="preserve">Date:  </w:t>
      </w:r>
      <w:r>
        <w:rPr>
          <w:rFonts w:ascii="Calibri" w:hAnsi="Calibri"/>
          <w:sz w:val="20"/>
        </w:rPr>
        <w:t xml:space="preserve">1</w:t>
      </w:r>
      <w:r>
        <w:rPr>
          <w:rFonts w:ascii="Calibri" w:hAnsi="Calibri"/>
          <w:sz w:val="20"/>
          <w:lang w:val="fr-FR"/>
        </w:rPr>
        <w:t xml:space="preserve">1</w:t>
      </w:r>
      <w:r>
        <w:rPr>
          <w:rFonts w:ascii="Calibri" w:hAnsi="Calibri"/>
          <w:sz w:val="20"/>
        </w:rPr>
        <w:t xml:space="preserve"> May 2026 </w:t>
      </w:r>
      <w:r>
        <w:rPr>
          <w:rFonts w:ascii="Calibri" w:hAnsi="Calibri"/>
          <w:sz w:val="20"/>
        </w:rPr>
        <w:t xml:space="preserve"> </w:t>
      </w:r>
      <w:r>
        <w:rPr>
          <w:rFonts w:ascii="Calibri" w:hAnsi="Calibri"/>
          <w:b/>
          <w:sz w:val="20"/>
        </w:rPr>
        <w:t xml:space="preserve">Status:  </w:t>
      </w:r>
      <w:r>
        <w:rPr>
          <w:rFonts w:ascii="Calibri" w:hAnsi="Calibri"/>
          <w:sz w:val="20"/>
        </w:rPr>
        <w:t xml:space="preserve">Preliminary — Pending Material Verification     </w:t>
      </w:r>
      <w:r/>
      <w:r/>
      <w:r/>
      <w:r/>
    </w:p>
    <w:p>
      <w:pPr>
        <w:pStyle w:val="693"/>
        <w:pBdr/>
        <w:spacing w:after="80" w:before="280"/>
        <w:ind/>
        <w:rPr/>
      </w:pPr>
      <w:r>
        <w:rPr>
          <w:rFonts w:ascii="Calibri" w:hAnsi="Calibri"/>
          <w:b/>
          <w:color w:val="1f3964"/>
          <w:sz w:val="26"/>
        </w:rPr>
        <w:t xml:space="preserve">1.  Methodology</w:t>
      </w:r>
      <w:r/>
    </w:p>
    <w:p>
      <w:pPr>
        <w:pBdr/>
        <w:spacing w:after="120" w:before="0"/>
        <w:ind/>
        <w:rPr/>
      </w:pPr>
      <w:r>
        <w:rPr>
          <w:rFonts w:ascii="Calibri" w:hAnsi="Calibri"/>
          <w:sz w:val="21"/>
        </w:rPr>
        <w:t xml:space="preserve">Part volumes were computed directly from the SolidWorks STEP assembly (OrbitGuard_Assembly_3.2.2_Thruster.STEP) using the OpenCASCADE geometry kernel. The assembly hierarchy</w:t>
      </w:r>
      <w:r>
        <w:rPr>
          <w:rFonts w:ascii="Calibri" w:hAnsi="Calibri"/>
          <w:sz w:val="21"/>
        </w:rPr>
        <w:t xml:space="preserve"> was traversed via the XCAF framework to identify 67 unique part definitions across 320 total instances. Volume properties were evaluated on each closed B-rep solid; mass was then derived by applying material densities assigned per part on the basis of par</w:t>
      </w:r>
      <w:r>
        <w:rPr>
          <w:rFonts w:ascii="Calibri" w:hAnsi="Calibri"/>
          <w:sz w:val="21"/>
        </w:rPr>
        <w:t xml:space="preserve">t nomenclature. COTS items and parts with non-descriptive identifiers were assigned a default aluminium density of 2700 kg/m³ pending confirmation. All results should be treated as preliminary until material assignments are verified against design records.</w:t>
      </w:r>
      <w:r/>
    </w:p>
    <w:p>
      <w:pPr>
        <w:pStyle w:val="693"/>
        <w:pBdr/>
        <w:spacing w:after="80" w:before="280"/>
        <w:ind/>
        <w:rPr/>
      </w:pPr>
      <w:r>
        <w:rPr>
          <w:rFonts w:ascii="Calibri" w:hAnsi="Calibri"/>
          <w:b/>
          <w:color w:val="1f3964"/>
          <w:sz w:val="26"/>
        </w:rPr>
        <w:t xml:space="preserve">2.  Results</w:t>
      </w:r>
      <w:r/>
    </w:p>
    <w:p>
      <w:pPr>
        <w:pBdr/>
        <w:spacing w:after="120" w:before="0"/>
        <w:ind/>
        <w:rPr/>
      </w:pPr>
      <w:r>
        <w:rPr>
          <w:rFonts w:ascii="Calibri" w:hAnsi="Calibri"/>
          <w:sz w:val="21"/>
        </w:rPr>
        <w:t xml:space="preserve">The estimated total assembly mass is 45.2 kg. Mass is heavily concentrated in the structural panels, which together account for approximately 75% of the total. The breakdown by category is given in Table 1.</w:t>
      </w:r>
      <w:r/>
    </w:p>
    <w:tbl>
      <w:tblPr>
        <w:tblStyle w:val="753"/>
        <w:jc w:val="center"/>
        <w:tblW w:w="0" w:type="auto"/>
        <w:tblBorders/>
        <w:tblLook w:val="04A0" w:firstRow="1" w:lastRow="0" w:firstColumn="1" w:lastColumn="0" w:noHBand="0" w:noVBand="1"/>
      </w:tblPr>
      <w:tblGrid>
        <w:gridCol w:w="3135"/>
        <w:gridCol w:w="3135"/>
        <w:gridCol w:w="3135"/>
      </w:tblGrid>
      <w:tr>
        <w:trPr/>
        <w:tc>
          <w:tcPr>
            <w:shd w:val="clear" w:color="auto" w:fill="1f3964"/>
            <w:tcBorders/>
            <w:tcW w:w="5386" w:type="dxa"/>
          </w:tcPr>
          <w:p>
            <w:pPr>
              <w:pBdr/>
              <w:spacing/>
              <w:ind/>
              <w:jc w:val="center"/>
              <w:rPr/>
            </w:pPr>
            <w:r>
              <w:rPr>
                <w:rFonts w:ascii="Calibri" w:hAnsi="Calibri"/>
                <w:b/>
                <w:color w:val="ffffff"/>
                <w:sz w:val="20"/>
              </w:rPr>
              <w:t xml:space="preserve">Category</w:t>
            </w:r>
            <w:r/>
          </w:p>
        </w:tc>
        <w:tc>
          <w:tcPr>
            <w:shd w:val="clear" w:color="auto" w:fill="1f3964"/>
            <w:tcBorders/>
            <w:tcW w:w="1984" w:type="dxa"/>
          </w:tcPr>
          <w:p>
            <w:pPr>
              <w:pBdr/>
              <w:spacing/>
              <w:ind/>
              <w:jc w:val="center"/>
              <w:rPr/>
            </w:pPr>
            <w:r>
              <w:rPr>
                <w:rFonts w:ascii="Calibri" w:hAnsi="Calibri"/>
                <w:b/>
                <w:color w:val="ffffff"/>
                <w:sz w:val="20"/>
              </w:rPr>
              <w:t xml:space="preserve">Total Mass (g)</w:t>
            </w:r>
            <w:r/>
          </w:p>
        </w:tc>
        <w:tc>
          <w:tcPr>
            <w:shd w:val="clear" w:color="auto" w:fill="1f3964"/>
            <w:tcBorders/>
            <w:tcW w:w="1701" w:type="dxa"/>
          </w:tcPr>
          <w:p>
            <w:pPr>
              <w:pBdr/>
              <w:spacing/>
              <w:ind/>
              <w:jc w:val="center"/>
              <w:rPr/>
            </w:pPr>
            <w:r>
              <w:rPr>
                <w:rFonts w:ascii="Calibri" w:hAnsi="Calibri"/>
                <w:b/>
                <w:color w:val="ffffff"/>
                <w:sz w:val="20"/>
              </w:rPr>
              <w:t xml:space="preserve">% of Total</w:t>
            </w:r>
            <w:r/>
          </w:p>
        </w:tc>
      </w:tr>
      <w:tr>
        <w:trPr/>
        <w:tc>
          <w:tcPr>
            <w:shd w:val="clear" w:color="auto" w:fill="ddeeff"/>
            <w:tcBorders/>
            <w:tcW w:w="5386" w:type="dxa"/>
          </w:tcPr>
          <w:p>
            <w:pPr>
              <w:pBdr/>
              <w:spacing/>
              <w:ind/>
              <w:jc w:val="left"/>
              <w:rPr/>
            </w:pPr>
            <w:r>
              <w:rPr>
                <w:rFonts w:ascii="Calibri" w:hAnsi="Calibri"/>
                <w:sz w:val="20"/>
              </w:rPr>
              <w:t xml:space="preserve">Structural panels  (6 face panels + shear panel)</w:t>
            </w:r>
            <w:r/>
          </w:p>
        </w:tc>
        <w:tc>
          <w:tcPr>
            <w:shd w:val="clear" w:color="auto" w:fill="ddeeff"/>
            <w:tcBorders/>
            <w:tcW w:w="1984" w:type="dxa"/>
          </w:tcPr>
          <w:p>
            <w:pPr>
              <w:pBdr/>
              <w:spacing/>
              <w:ind/>
              <w:jc w:val="center"/>
              <w:rPr/>
            </w:pPr>
            <w:r>
              <w:rPr>
                <w:rFonts w:ascii="Calibri" w:hAnsi="Calibri"/>
                <w:sz w:val="20"/>
              </w:rPr>
              <w:t xml:space="preserve">33,882</w:t>
            </w:r>
            <w:r/>
          </w:p>
        </w:tc>
        <w:tc>
          <w:tcPr>
            <w:shd w:val="clear" w:color="auto" w:fill="ddeeff"/>
            <w:tcBorders/>
            <w:tcW w:w="1701" w:type="dxa"/>
          </w:tcPr>
          <w:p>
            <w:pPr>
              <w:pBdr/>
              <w:spacing/>
              <w:ind/>
              <w:jc w:val="center"/>
              <w:rPr/>
            </w:pPr>
            <w:r>
              <w:rPr>
                <w:rFonts w:ascii="Calibri" w:hAnsi="Calibri"/>
                <w:sz w:val="20"/>
              </w:rPr>
              <w:t xml:space="preserve">75.0%</w:t>
            </w:r>
            <w:r/>
          </w:p>
        </w:tc>
      </w:tr>
      <w:tr>
        <w:trPr/>
        <w:tc>
          <w:tcPr>
            <w:shd w:val="clear" w:color="auto" w:fill="ffffff"/>
            <w:tcBorders/>
            <w:tcW w:w="5386" w:type="dxa"/>
          </w:tcPr>
          <w:p>
            <w:pPr>
              <w:pBdr/>
              <w:spacing/>
              <w:ind/>
              <w:jc w:val="left"/>
              <w:rPr/>
            </w:pPr>
            <w:r>
              <w:rPr>
                <w:rFonts w:ascii="Calibri" w:hAnsi="Calibri"/>
                <w:sz w:val="20"/>
              </w:rPr>
              <w:t xml:space="preserve">Propulsion  (2× BHT-350 T1 thrusters)</w:t>
            </w:r>
            <w:r/>
          </w:p>
        </w:tc>
        <w:tc>
          <w:tcPr>
            <w:shd w:val="clear" w:color="auto" w:fill="ffffff"/>
            <w:tcBorders/>
            <w:tcW w:w="1984" w:type="dxa"/>
          </w:tcPr>
          <w:p>
            <w:pPr>
              <w:pBdr/>
              <w:spacing/>
              <w:ind/>
              <w:jc w:val="center"/>
              <w:rPr/>
            </w:pPr>
            <w:r>
              <w:rPr>
                <w:rFonts w:ascii="Calibri" w:hAnsi="Calibri"/>
                <w:sz w:val="20"/>
              </w:rPr>
              <w:t xml:space="preserve"> 4,240</w:t>
            </w:r>
            <w:r/>
          </w:p>
        </w:tc>
        <w:tc>
          <w:tcPr>
            <w:shd w:val="clear" w:color="auto" w:fill="ffffff"/>
            <w:tcBorders/>
            <w:tcW w:w="1701" w:type="dxa"/>
          </w:tcPr>
          <w:p>
            <w:pPr>
              <w:pBdr/>
              <w:spacing/>
              <w:ind/>
              <w:jc w:val="center"/>
              <w:rPr/>
            </w:pPr>
            <w:r>
              <w:rPr>
                <w:rFonts w:ascii="Calibri" w:hAnsi="Calibri"/>
                <w:sz w:val="20"/>
              </w:rPr>
              <w:t xml:space="preserve"> 9.4%</w:t>
            </w:r>
            <w:r/>
          </w:p>
        </w:tc>
      </w:tr>
      <w:tr>
        <w:trPr/>
        <w:tc>
          <w:tcPr>
            <w:shd w:val="clear" w:color="auto" w:fill="ddeeff"/>
            <w:tcBorders/>
            <w:tcW w:w="5386" w:type="dxa"/>
          </w:tcPr>
          <w:p>
            <w:pPr>
              <w:pBdr/>
              <w:spacing/>
              <w:ind/>
              <w:jc w:val="left"/>
              <w:rPr/>
            </w:pPr>
            <w:r>
              <w:rPr>
                <w:rFonts w:ascii="Calibri" w:hAnsi="Calibri"/>
                <w:sz w:val="20"/>
              </w:rPr>
              <w:t xml:space="preserve">Brackets and secondary structure</w:t>
            </w:r>
            <w:r/>
          </w:p>
        </w:tc>
        <w:tc>
          <w:tcPr>
            <w:shd w:val="clear" w:color="auto" w:fill="ddeeff"/>
            <w:tcBorders/>
            <w:tcW w:w="1984" w:type="dxa"/>
          </w:tcPr>
          <w:p>
            <w:pPr>
              <w:pBdr/>
              <w:spacing/>
              <w:ind/>
              <w:jc w:val="center"/>
              <w:rPr/>
            </w:pPr>
            <w:r>
              <w:rPr>
                <w:rFonts w:ascii="Calibri" w:hAnsi="Calibri"/>
                <w:sz w:val="20"/>
              </w:rPr>
              <w:t xml:space="preserve"> 3,965</w:t>
            </w:r>
            <w:r/>
          </w:p>
        </w:tc>
        <w:tc>
          <w:tcPr>
            <w:shd w:val="clear" w:color="auto" w:fill="ddeeff"/>
            <w:tcBorders/>
            <w:tcW w:w="1701" w:type="dxa"/>
          </w:tcPr>
          <w:p>
            <w:pPr>
              <w:pBdr/>
              <w:spacing/>
              <w:ind/>
              <w:jc w:val="center"/>
              <w:rPr/>
            </w:pPr>
            <w:r>
              <w:rPr>
                <w:rFonts w:ascii="Calibri" w:hAnsi="Calibri"/>
                <w:sz w:val="20"/>
              </w:rPr>
              <w:t xml:space="preserve"> 8.8%</w:t>
            </w:r>
            <w:r/>
          </w:p>
        </w:tc>
      </w:tr>
      <w:tr>
        <w:trPr/>
        <w:tc>
          <w:tcPr>
            <w:shd w:val="clear" w:color="auto" w:fill="ffffff"/>
            <w:tcBorders/>
            <w:tcW w:w="5386" w:type="dxa"/>
          </w:tcPr>
          <w:p>
            <w:pPr>
              <w:pBdr/>
              <w:spacing/>
              <w:ind/>
              <w:jc w:val="left"/>
              <w:rPr/>
            </w:pPr>
            <w:r>
              <w:rPr>
                <w:rFonts w:ascii="Calibri" w:hAnsi="Calibri"/>
                <w:sz w:val="20"/>
              </w:rPr>
              <w:t xml:space="preserve">Electronics / RFIM assembly</w:t>
            </w:r>
            <w:r/>
          </w:p>
        </w:tc>
        <w:tc>
          <w:tcPr>
            <w:shd w:val="clear" w:color="auto" w:fill="ffffff"/>
            <w:tcBorders/>
            <w:tcW w:w="1984" w:type="dxa"/>
          </w:tcPr>
          <w:p>
            <w:pPr>
              <w:pBdr/>
              <w:spacing/>
              <w:ind/>
              <w:jc w:val="center"/>
              <w:rPr/>
            </w:pPr>
            <w:r>
              <w:rPr>
                <w:rFonts w:ascii="Calibri" w:hAnsi="Calibri"/>
                <w:sz w:val="20"/>
              </w:rPr>
              <w:t xml:space="preserve">   752</w:t>
            </w:r>
            <w:r/>
          </w:p>
        </w:tc>
        <w:tc>
          <w:tcPr>
            <w:shd w:val="clear" w:color="auto" w:fill="ffffff"/>
            <w:tcBorders/>
            <w:tcW w:w="1701" w:type="dxa"/>
          </w:tcPr>
          <w:p>
            <w:pPr>
              <w:pBdr/>
              <w:spacing/>
              <w:ind/>
              <w:jc w:val="center"/>
              <w:rPr/>
            </w:pPr>
            <w:r>
              <w:rPr>
                <w:rFonts w:ascii="Calibri" w:hAnsi="Calibri"/>
                <w:sz w:val="20"/>
              </w:rPr>
              <w:t xml:space="preserve"> 1.7%</w:t>
            </w:r>
            <w:r/>
          </w:p>
        </w:tc>
      </w:tr>
      <w:tr>
        <w:trPr/>
        <w:tc>
          <w:tcPr>
            <w:shd w:val="clear" w:color="auto" w:fill="ddeeff"/>
            <w:tcBorders/>
            <w:tcW w:w="5386" w:type="dxa"/>
          </w:tcPr>
          <w:p>
            <w:pPr>
              <w:pBdr/>
              <w:spacing/>
              <w:ind/>
              <w:jc w:val="left"/>
              <w:rPr/>
            </w:pPr>
            <w:r>
              <w:rPr>
                <w:rFonts w:ascii="Calibri" w:hAnsi="Calibri"/>
                <w:sz w:val="20"/>
              </w:rPr>
              <w:t xml:space="preserve">Fasteners  (bolts, washers)</w:t>
            </w:r>
            <w:r/>
          </w:p>
        </w:tc>
        <w:tc>
          <w:tcPr>
            <w:shd w:val="clear" w:color="auto" w:fill="ddeeff"/>
            <w:tcBorders/>
            <w:tcW w:w="1984" w:type="dxa"/>
          </w:tcPr>
          <w:p>
            <w:pPr>
              <w:pBdr/>
              <w:spacing/>
              <w:ind/>
              <w:jc w:val="center"/>
              <w:rPr/>
            </w:pPr>
            <w:r>
              <w:rPr>
                <w:rFonts w:ascii="Calibri" w:hAnsi="Calibri"/>
                <w:sz w:val="20"/>
              </w:rPr>
              <w:t xml:space="preserve">   116</w:t>
            </w:r>
            <w:r/>
          </w:p>
        </w:tc>
        <w:tc>
          <w:tcPr>
            <w:shd w:val="clear" w:color="auto" w:fill="ddeeff"/>
            <w:tcBorders/>
            <w:tcW w:w="1701" w:type="dxa"/>
          </w:tcPr>
          <w:p>
            <w:pPr>
              <w:pBdr/>
              <w:spacing/>
              <w:ind/>
              <w:jc w:val="center"/>
              <w:rPr/>
            </w:pPr>
            <w:r>
              <w:rPr>
                <w:rFonts w:ascii="Calibri" w:hAnsi="Calibri"/>
                <w:sz w:val="20"/>
              </w:rPr>
              <w:t xml:space="preserve"> 0.3%</w:t>
            </w:r>
            <w:r/>
          </w:p>
        </w:tc>
      </w:tr>
      <w:tr>
        <w:trPr/>
        <w:tc>
          <w:tcPr>
            <w:shd w:val="clear" w:color="auto" w:fill="ffffff"/>
            <w:tcBorders/>
            <w:tcW w:w="5386" w:type="dxa"/>
          </w:tcPr>
          <w:p>
            <w:pPr>
              <w:pBdr/>
              <w:spacing/>
              <w:ind/>
              <w:jc w:val="left"/>
              <w:rPr/>
            </w:pPr>
            <w:r>
              <w:rPr>
                <w:rFonts w:ascii="Calibri" w:hAnsi="Calibri"/>
                <w:sz w:val="20"/>
              </w:rPr>
              <w:t xml:space="preserve">Other / unresolved COTS</w:t>
            </w:r>
            <w:r/>
          </w:p>
        </w:tc>
        <w:tc>
          <w:tcPr>
            <w:shd w:val="clear" w:color="auto" w:fill="ffffff"/>
            <w:tcBorders/>
            <w:tcW w:w="1984" w:type="dxa"/>
          </w:tcPr>
          <w:p>
            <w:pPr>
              <w:pBdr/>
              <w:spacing/>
              <w:ind/>
              <w:jc w:val="center"/>
              <w:rPr/>
            </w:pPr>
            <w:r>
              <w:rPr>
                <w:rFonts w:ascii="Calibri" w:hAnsi="Calibri"/>
                <w:sz w:val="20"/>
              </w:rPr>
              <w:t xml:space="preserve">   230</w:t>
            </w:r>
            <w:r/>
          </w:p>
        </w:tc>
        <w:tc>
          <w:tcPr>
            <w:shd w:val="clear" w:color="auto" w:fill="ffffff"/>
            <w:tcBorders/>
            <w:tcW w:w="1701" w:type="dxa"/>
          </w:tcPr>
          <w:p>
            <w:pPr>
              <w:pBdr/>
              <w:spacing/>
              <w:ind/>
              <w:jc w:val="center"/>
              <w:rPr/>
            </w:pPr>
            <w:r>
              <w:rPr>
                <w:rFonts w:ascii="Calibri" w:hAnsi="Calibri"/>
                <w:sz w:val="20"/>
              </w:rPr>
              <w:t xml:space="preserve"> 0.5%</w:t>
            </w:r>
            <w:r/>
          </w:p>
        </w:tc>
      </w:tr>
      <w:tr>
        <w:trPr/>
        <w:tc>
          <w:tcPr>
            <w:shd w:val="clear" w:color="auto" w:fill="ddeeff"/>
            <w:tcBorders/>
            <w:tcW w:w="5386" w:type="dxa"/>
          </w:tcPr>
          <w:p>
            <w:pPr>
              <w:pBdr/>
              <w:spacing/>
              <w:ind/>
              <w:jc w:val="left"/>
              <w:rPr/>
            </w:pPr>
            <w:r>
              <w:rPr>
                <w:rFonts w:ascii="Calibri" w:hAnsi="Calibri"/>
                <w:sz w:val="20"/>
              </w:rPr>
              <w:t xml:space="preserve">TOTAL</w:t>
            </w:r>
            <w:r/>
          </w:p>
        </w:tc>
        <w:tc>
          <w:tcPr>
            <w:shd w:val="clear" w:color="auto" w:fill="ddeeff"/>
            <w:tcBorders/>
            <w:tcW w:w="1984" w:type="dxa"/>
          </w:tcPr>
          <w:p>
            <w:pPr>
              <w:pBdr/>
              <w:spacing/>
              <w:ind/>
              <w:jc w:val="center"/>
              <w:rPr/>
            </w:pPr>
            <w:r>
              <w:rPr>
                <w:rFonts w:ascii="Calibri" w:hAnsi="Calibri"/>
                <w:sz w:val="20"/>
              </w:rPr>
              <w:t xml:space="preserve">45,185</w:t>
            </w:r>
            <w:r/>
          </w:p>
        </w:tc>
        <w:tc>
          <w:tcPr>
            <w:shd w:val="clear" w:color="auto" w:fill="ddeeff"/>
            <w:tcBorders/>
            <w:tcW w:w="1701" w:type="dxa"/>
          </w:tcPr>
          <w:p>
            <w:pPr>
              <w:pBdr/>
              <w:spacing/>
              <w:ind/>
              <w:jc w:val="center"/>
              <w:rPr/>
            </w:pPr>
            <w:r>
              <w:rPr>
                <w:rFonts w:ascii="Calibri" w:hAnsi="Calibri"/>
                <w:sz w:val="20"/>
              </w:rPr>
              <w:t xml:space="preserve">100%</w:t>
            </w:r>
            <w:r/>
          </w:p>
        </w:tc>
      </w:tr>
    </w:tbl>
    <w:p>
      <w:pPr>
        <w:pBdr/>
        <w:spacing/>
        <w:ind/>
        <w:rPr/>
      </w:pPr>
      <w:r/>
      <w:r/>
    </w:p>
    <w:p>
      <w:pPr>
        <w:pBdr/>
        <w:spacing w:after="120" w:before="0"/>
        <w:ind/>
        <w:rPr/>
      </w:pPr>
      <w:r>
        <w:rPr>
          <w:rFonts w:ascii="Calibri" w:hAnsi="Calibri"/>
          <w:sz w:val="21"/>
        </w:rPr>
        <w:t xml:space="preserve">Table</w:t>
      </w:r>
      <w:r>
        <w:rPr>
          <w:rFonts w:ascii="Calibri" w:hAnsi="Calibri"/>
          <w:sz w:val="21"/>
        </w:rPr>
        <w:t xml:space="preserve"> 2 lists the ten highest-mass line items, sorted by total contribution. Panel geometry is modelled as solid aluminium; actual panel construction (likely sandwich with CFRP face sheets) would reduce the panel mass contribution significantly — see Section 3.</w:t>
      </w:r>
      <w:r/>
    </w:p>
    <w:tbl>
      <w:tblPr>
        <w:tblStyle w:val="753"/>
        <w:jc w:val="center"/>
        <w:tblW w:w="0" w:type="auto"/>
        <w:tblBorders/>
        <w:tblLook w:val="04A0" w:firstRow="1" w:lastRow="0" w:firstColumn="1" w:lastColumn="0" w:noHBand="0" w:noVBand="1"/>
      </w:tblPr>
      <w:tblGrid>
        <w:gridCol w:w="1568"/>
        <w:gridCol w:w="1568"/>
        <w:gridCol w:w="1568"/>
        <w:gridCol w:w="1568"/>
        <w:gridCol w:w="1568"/>
        <w:gridCol w:w="1568"/>
      </w:tblGrid>
      <w:tr>
        <w:trPr/>
        <w:tc>
          <w:tcPr>
            <w:shd w:val="clear" w:color="auto" w:fill="1f3964"/>
            <w:tcBorders/>
            <w:tcW w:w="3118" w:type="dxa"/>
          </w:tcPr>
          <w:p>
            <w:pPr>
              <w:pBdr/>
              <w:spacing/>
              <w:ind/>
              <w:jc w:val="center"/>
              <w:rPr/>
            </w:pPr>
            <w:r>
              <w:rPr>
                <w:rFonts w:ascii="Calibri" w:hAnsi="Calibri"/>
                <w:b/>
                <w:color w:val="ffffff"/>
                <w:sz w:val="20"/>
              </w:rPr>
              <w:t xml:space="preserve">Part</w:t>
            </w:r>
            <w:r/>
          </w:p>
        </w:tc>
        <w:tc>
          <w:tcPr>
            <w:shd w:val="clear" w:color="auto" w:fill="1f3964"/>
            <w:tcBorders/>
            <w:tcW w:w="680" w:type="dxa"/>
          </w:tcPr>
          <w:p>
            <w:pPr>
              <w:pBdr/>
              <w:spacing/>
              <w:ind/>
              <w:jc w:val="center"/>
              <w:rPr/>
            </w:pPr>
            <w:r>
              <w:rPr>
                <w:rFonts w:ascii="Calibri" w:hAnsi="Calibri"/>
                <w:b/>
                <w:color w:val="ffffff"/>
                <w:sz w:val="20"/>
              </w:rPr>
              <w:t xml:space="preserve">Qty</w:t>
            </w:r>
            <w:r/>
          </w:p>
        </w:tc>
        <w:tc>
          <w:tcPr>
            <w:shd w:val="clear" w:color="auto" w:fill="1f3964"/>
            <w:tcBorders/>
            <w:tcW w:w="1701" w:type="dxa"/>
          </w:tcPr>
          <w:p>
            <w:pPr>
              <w:pBdr/>
              <w:spacing/>
              <w:ind/>
              <w:jc w:val="center"/>
              <w:rPr/>
            </w:pPr>
            <w:r>
              <w:rPr>
                <w:rFonts w:ascii="Calibri" w:hAnsi="Calibri"/>
                <w:b/>
                <w:color w:val="ffffff"/>
                <w:sz w:val="20"/>
              </w:rPr>
              <w:t xml:space="preserve">Vol/unit (cm³)</w:t>
            </w:r>
            <w:r/>
          </w:p>
        </w:tc>
        <w:tc>
          <w:tcPr>
            <w:shd w:val="clear" w:color="auto" w:fill="1f3964"/>
            <w:tcBorders/>
            <w:tcW w:w="1701" w:type="dxa"/>
          </w:tcPr>
          <w:p>
            <w:pPr>
              <w:pBdr/>
              <w:spacing/>
              <w:ind/>
              <w:jc w:val="center"/>
              <w:rPr/>
            </w:pPr>
            <w:r>
              <w:rPr>
                <w:rFonts w:ascii="Calibri" w:hAnsi="Calibri"/>
                <w:b/>
                <w:color w:val="ffffff"/>
                <w:sz w:val="20"/>
              </w:rPr>
              <w:t xml:space="preserve">Density (kg/m³)</w:t>
            </w:r>
            <w:r/>
          </w:p>
        </w:tc>
        <w:tc>
          <w:tcPr>
            <w:shd w:val="clear" w:color="auto" w:fill="1f3964"/>
            <w:tcBorders/>
            <w:tcW w:w="1701" w:type="dxa"/>
          </w:tcPr>
          <w:p>
            <w:pPr>
              <w:pBdr/>
              <w:spacing/>
              <w:ind/>
              <w:jc w:val="center"/>
              <w:rPr/>
            </w:pPr>
            <w:r>
              <w:rPr>
                <w:rFonts w:ascii="Calibri" w:hAnsi="Calibri"/>
                <w:b/>
                <w:color w:val="ffffff"/>
                <w:sz w:val="20"/>
              </w:rPr>
              <w:t xml:space="preserve">Mass/unit (g)</w:t>
            </w:r>
            <w:r/>
          </w:p>
        </w:tc>
        <w:tc>
          <w:tcPr>
            <w:shd w:val="clear" w:color="auto" w:fill="1f3964"/>
            <w:tcBorders/>
            <w:tcW w:w="1417" w:type="dxa"/>
          </w:tcPr>
          <w:p>
            <w:pPr>
              <w:pBdr/>
              <w:spacing/>
              <w:ind/>
              <w:jc w:val="center"/>
              <w:rPr/>
            </w:pPr>
            <w:r>
              <w:rPr>
                <w:rFonts w:ascii="Calibri" w:hAnsi="Calibri"/>
                <w:b/>
                <w:color w:val="ffffff"/>
                <w:sz w:val="20"/>
              </w:rPr>
              <w:t xml:space="preserve">Total (g)</w:t>
            </w:r>
            <w:r/>
          </w:p>
        </w:tc>
      </w:tr>
      <w:tr>
        <w:trPr/>
        <w:tc>
          <w:tcPr>
            <w:shd w:val="clear" w:color="auto" w:fill="ddeeff"/>
            <w:tcBorders/>
            <w:tcW w:w="3118" w:type="dxa"/>
          </w:tcPr>
          <w:p>
            <w:pPr>
              <w:pBdr/>
              <w:spacing/>
              <w:ind/>
              <w:jc w:val="left"/>
              <w:rPr/>
            </w:pPr>
            <w:r>
              <w:rPr>
                <w:rFonts w:ascii="Calibri" w:hAnsi="Calibri"/>
                <w:sz w:val="20"/>
              </w:rPr>
              <w:t xml:space="preserve">Z− Panel</w:t>
            </w:r>
            <w:r/>
          </w:p>
        </w:tc>
        <w:tc>
          <w:tcPr>
            <w:shd w:val="clear" w:color="auto" w:fill="ddeeff"/>
            <w:tcBorders/>
            <w:tcW w:w="680" w:type="dxa"/>
          </w:tcPr>
          <w:p>
            <w:pPr>
              <w:pBdr/>
              <w:spacing/>
              <w:ind/>
              <w:jc w:val="center"/>
              <w:rPr/>
            </w:pPr>
            <w:r>
              <w:rPr>
                <w:rFonts w:ascii="Calibri" w:hAnsi="Calibri"/>
                <w:sz w:val="20"/>
              </w:rPr>
              <w:t xml:space="preserve">1</w:t>
            </w:r>
            <w:r/>
          </w:p>
        </w:tc>
        <w:tc>
          <w:tcPr>
            <w:shd w:val="clear" w:color="auto" w:fill="ddeeff"/>
            <w:tcBorders/>
            <w:tcW w:w="1701" w:type="dxa"/>
          </w:tcPr>
          <w:p>
            <w:pPr>
              <w:pBdr/>
              <w:spacing/>
              <w:ind/>
              <w:jc w:val="center"/>
              <w:rPr/>
            </w:pPr>
            <w:r>
              <w:rPr>
                <w:rFonts w:ascii="Calibri" w:hAnsi="Calibri"/>
                <w:sz w:val="20"/>
              </w:rPr>
              <w:t xml:space="preserve">5132</w:t>
            </w:r>
            <w:r/>
          </w:p>
        </w:tc>
        <w:tc>
          <w:tcPr>
            <w:shd w:val="clear" w:color="auto" w:fill="ddeeff"/>
            <w:tcBorders/>
            <w:tcW w:w="1701" w:type="dxa"/>
          </w:tcPr>
          <w:p>
            <w:pPr>
              <w:pBdr/>
              <w:spacing/>
              <w:ind/>
              <w:jc w:val="center"/>
              <w:rPr/>
            </w:pPr>
            <w:r>
              <w:rPr>
                <w:rFonts w:ascii="Calibri" w:hAnsi="Calibri"/>
                <w:sz w:val="20"/>
              </w:rPr>
              <w:t xml:space="preserve">2700*</w:t>
            </w:r>
            <w:r/>
          </w:p>
        </w:tc>
        <w:tc>
          <w:tcPr>
            <w:shd w:val="clear" w:color="auto" w:fill="ddeeff"/>
            <w:tcBorders/>
            <w:tcW w:w="1701" w:type="dxa"/>
          </w:tcPr>
          <w:p>
            <w:pPr>
              <w:pBdr/>
              <w:spacing/>
              <w:ind/>
              <w:jc w:val="center"/>
              <w:rPr/>
            </w:pPr>
            <w:r>
              <w:rPr>
                <w:rFonts w:ascii="Calibri" w:hAnsi="Calibri"/>
                <w:sz w:val="20"/>
              </w:rPr>
              <w:t xml:space="preserve">13,857</w:t>
            </w:r>
            <w:r/>
          </w:p>
        </w:tc>
        <w:tc>
          <w:tcPr>
            <w:shd w:val="clear" w:color="auto" w:fill="ddeeff"/>
            <w:tcBorders/>
            <w:tcW w:w="1417" w:type="dxa"/>
          </w:tcPr>
          <w:p>
            <w:pPr>
              <w:pBdr/>
              <w:spacing/>
              <w:ind/>
              <w:jc w:val="center"/>
              <w:rPr/>
            </w:pPr>
            <w:r>
              <w:rPr>
                <w:rFonts w:ascii="Calibri" w:hAnsi="Calibri"/>
                <w:sz w:val="20"/>
              </w:rPr>
              <w:t xml:space="preserve">13,857</w:t>
            </w:r>
            <w:r/>
          </w:p>
        </w:tc>
      </w:tr>
      <w:tr>
        <w:trPr/>
        <w:tc>
          <w:tcPr>
            <w:shd w:val="clear" w:color="auto" w:fill="ffffff"/>
            <w:tcBorders/>
            <w:tcW w:w="3118" w:type="dxa"/>
          </w:tcPr>
          <w:p>
            <w:pPr>
              <w:pBdr/>
              <w:spacing/>
              <w:ind/>
              <w:jc w:val="left"/>
              <w:rPr/>
            </w:pPr>
            <w:r>
              <w:rPr>
                <w:rFonts w:ascii="Calibri" w:hAnsi="Calibri"/>
                <w:sz w:val="20"/>
              </w:rPr>
              <w:t xml:space="preserve">Z+ Panel</w:t>
            </w:r>
            <w:r/>
          </w:p>
        </w:tc>
        <w:tc>
          <w:tcPr>
            <w:shd w:val="clear" w:color="auto" w:fill="ffffff"/>
            <w:tcBorders/>
            <w:tcW w:w="680" w:type="dxa"/>
          </w:tcPr>
          <w:p>
            <w:pPr>
              <w:pBdr/>
              <w:spacing/>
              <w:ind/>
              <w:jc w:val="center"/>
              <w:rPr/>
            </w:pPr>
            <w:r>
              <w:rPr>
                <w:rFonts w:ascii="Calibri" w:hAnsi="Calibri"/>
                <w:sz w:val="20"/>
              </w:rPr>
              <w:t xml:space="preserve">1</w:t>
            </w:r>
            <w:r/>
          </w:p>
        </w:tc>
        <w:tc>
          <w:tcPr>
            <w:shd w:val="clear" w:color="auto" w:fill="ffffff"/>
            <w:tcBorders/>
            <w:tcW w:w="1701" w:type="dxa"/>
          </w:tcPr>
          <w:p>
            <w:pPr>
              <w:pBdr/>
              <w:spacing/>
              <w:ind/>
              <w:jc w:val="center"/>
              <w:rPr/>
            </w:pPr>
            <w:r>
              <w:rPr>
                <w:rFonts w:ascii="Calibri" w:hAnsi="Calibri"/>
                <w:sz w:val="20"/>
              </w:rPr>
              <w:t xml:space="preserve">2081</w:t>
            </w:r>
            <w:r/>
          </w:p>
        </w:tc>
        <w:tc>
          <w:tcPr>
            <w:shd w:val="clear" w:color="auto" w:fill="ffffff"/>
            <w:tcBorders/>
            <w:tcW w:w="1701" w:type="dxa"/>
          </w:tcPr>
          <w:p>
            <w:pPr>
              <w:pBdr/>
              <w:spacing/>
              <w:ind/>
              <w:jc w:val="center"/>
              <w:rPr/>
            </w:pPr>
            <w:r>
              <w:rPr>
                <w:rFonts w:ascii="Calibri" w:hAnsi="Calibri"/>
                <w:sz w:val="20"/>
              </w:rPr>
              <w:t xml:space="preserve">2700*</w:t>
            </w:r>
            <w:r/>
          </w:p>
        </w:tc>
        <w:tc>
          <w:tcPr>
            <w:shd w:val="clear" w:color="auto" w:fill="ffffff"/>
            <w:tcBorders/>
            <w:tcW w:w="1701" w:type="dxa"/>
          </w:tcPr>
          <w:p>
            <w:pPr>
              <w:pBdr/>
              <w:spacing/>
              <w:ind/>
              <w:jc w:val="center"/>
              <w:rPr/>
            </w:pPr>
            <w:r>
              <w:rPr>
                <w:rFonts w:ascii="Calibri" w:hAnsi="Calibri"/>
                <w:sz w:val="20"/>
              </w:rPr>
              <w:t xml:space="preserve"> 5,617</w:t>
            </w:r>
            <w:r/>
          </w:p>
        </w:tc>
        <w:tc>
          <w:tcPr>
            <w:shd w:val="clear" w:color="auto" w:fill="ffffff"/>
            <w:tcBorders/>
            <w:tcW w:w="1417" w:type="dxa"/>
          </w:tcPr>
          <w:p>
            <w:pPr>
              <w:pBdr/>
              <w:spacing/>
              <w:ind/>
              <w:jc w:val="center"/>
              <w:rPr/>
            </w:pPr>
            <w:r>
              <w:rPr>
                <w:rFonts w:ascii="Calibri" w:hAnsi="Calibri"/>
                <w:sz w:val="20"/>
              </w:rPr>
              <w:t xml:space="preserve"> 5,617</w:t>
            </w:r>
            <w:r/>
          </w:p>
        </w:tc>
      </w:tr>
      <w:tr>
        <w:trPr/>
        <w:tc>
          <w:tcPr>
            <w:shd w:val="clear" w:color="auto" w:fill="ddeeff"/>
            <w:tcBorders/>
            <w:tcW w:w="3118" w:type="dxa"/>
          </w:tcPr>
          <w:p>
            <w:pPr>
              <w:pBdr/>
              <w:spacing/>
              <w:ind/>
              <w:jc w:val="left"/>
              <w:rPr/>
            </w:pPr>
            <w:r>
              <w:rPr>
                <w:rFonts w:ascii="Calibri" w:hAnsi="Calibri"/>
                <w:sz w:val="20"/>
              </w:rPr>
              <w:t xml:space="preserve">BHT-350 T1 thruster</w:t>
            </w:r>
            <w:r/>
          </w:p>
        </w:tc>
        <w:tc>
          <w:tcPr>
            <w:shd w:val="clear" w:color="auto" w:fill="ddeeff"/>
            <w:tcBorders/>
            <w:tcW w:w="680" w:type="dxa"/>
          </w:tcPr>
          <w:p>
            <w:pPr>
              <w:pBdr/>
              <w:spacing/>
              <w:ind/>
              <w:jc w:val="center"/>
              <w:rPr/>
            </w:pPr>
            <w:r>
              <w:rPr>
                <w:rFonts w:ascii="Calibri" w:hAnsi="Calibri"/>
                <w:sz w:val="20"/>
              </w:rPr>
              <w:t xml:space="preserve">2</w:t>
            </w:r>
            <w:r/>
          </w:p>
        </w:tc>
        <w:tc>
          <w:tcPr>
            <w:shd w:val="clear" w:color="auto" w:fill="ddeeff"/>
            <w:tcBorders/>
            <w:tcW w:w="1701" w:type="dxa"/>
          </w:tcPr>
          <w:p>
            <w:pPr>
              <w:pBdr/>
              <w:spacing/>
              <w:ind/>
              <w:jc w:val="center"/>
              <w:rPr/>
            </w:pPr>
            <w:r>
              <w:rPr>
                <w:rFonts w:ascii="Calibri" w:hAnsi="Calibri"/>
                <w:sz w:val="20"/>
              </w:rPr>
              <w:t xml:space="preserve"> 785</w:t>
            </w:r>
            <w:r/>
          </w:p>
        </w:tc>
        <w:tc>
          <w:tcPr>
            <w:shd w:val="clear" w:color="auto" w:fill="ddeeff"/>
            <w:tcBorders/>
            <w:tcW w:w="1701" w:type="dxa"/>
          </w:tcPr>
          <w:p>
            <w:pPr>
              <w:pBdr/>
              <w:spacing/>
              <w:ind/>
              <w:jc w:val="center"/>
              <w:rPr/>
            </w:pPr>
            <w:r>
              <w:rPr>
                <w:rFonts w:ascii="Calibri" w:hAnsi="Calibri"/>
                <w:sz w:val="20"/>
              </w:rPr>
              <w:t xml:space="preserve">2700*</w:t>
            </w:r>
            <w:r/>
          </w:p>
        </w:tc>
        <w:tc>
          <w:tcPr>
            <w:shd w:val="clear" w:color="auto" w:fill="ddeeff"/>
            <w:tcBorders/>
            <w:tcW w:w="1701" w:type="dxa"/>
          </w:tcPr>
          <w:p>
            <w:pPr>
              <w:pBdr/>
              <w:spacing/>
              <w:ind/>
              <w:jc w:val="center"/>
              <w:rPr/>
            </w:pPr>
            <w:r>
              <w:rPr>
                <w:rFonts w:ascii="Calibri" w:hAnsi="Calibri"/>
                <w:sz w:val="20"/>
              </w:rPr>
              <w:t xml:space="preserve"> 2,120</w:t>
            </w:r>
            <w:r/>
          </w:p>
        </w:tc>
        <w:tc>
          <w:tcPr>
            <w:shd w:val="clear" w:color="auto" w:fill="ddeeff"/>
            <w:tcBorders/>
            <w:tcW w:w="1417" w:type="dxa"/>
          </w:tcPr>
          <w:p>
            <w:pPr>
              <w:pBdr/>
              <w:spacing/>
              <w:ind/>
              <w:jc w:val="center"/>
              <w:rPr/>
            </w:pPr>
            <w:r>
              <w:rPr>
                <w:rFonts w:ascii="Calibri" w:hAnsi="Calibri"/>
                <w:sz w:val="20"/>
              </w:rPr>
              <w:t xml:space="preserve"> 4,240</w:t>
            </w:r>
            <w:r/>
          </w:p>
        </w:tc>
      </w:tr>
      <w:tr>
        <w:trPr/>
        <w:tc>
          <w:tcPr>
            <w:shd w:val="clear" w:color="auto" w:fill="ffffff"/>
            <w:tcBorders/>
            <w:tcW w:w="3118" w:type="dxa"/>
          </w:tcPr>
          <w:p>
            <w:pPr>
              <w:pBdr/>
              <w:spacing/>
              <w:ind/>
              <w:jc w:val="left"/>
              <w:rPr/>
            </w:pPr>
            <w:r>
              <w:rPr>
                <w:rFonts w:ascii="Calibri" w:hAnsi="Calibri"/>
                <w:sz w:val="20"/>
              </w:rPr>
              <w:t xml:space="preserve">X+ Panel</w:t>
            </w:r>
            <w:r/>
          </w:p>
        </w:tc>
        <w:tc>
          <w:tcPr>
            <w:shd w:val="clear" w:color="auto" w:fill="ffffff"/>
            <w:tcBorders/>
            <w:tcW w:w="680" w:type="dxa"/>
          </w:tcPr>
          <w:p>
            <w:pPr>
              <w:pBdr/>
              <w:spacing/>
              <w:ind/>
              <w:jc w:val="center"/>
              <w:rPr/>
            </w:pPr>
            <w:r>
              <w:rPr>
                <w:rFonts w:ascii="Calibri" w:hAnsi="Calibri"/>
                <w:sz w:val="20"/>
              </w:rPr>
              <w:t xml:space="preserve">1</w:t>
            </w:r>
            <w:r/>
          </w:p>
        </w:tc>
        <w:tc>
          <w:tcPr>
            <w:shd w:val="clear" w:color="auto" w:fill="ffffff"/>
            <w:tcBorders/>
            <w:tcW w:w="1701" w:type="dxa"/>
          </w:tcPr>
          <w:p>
            <w:pPr>
              <w:pBdr/>
              <w:spacing/>
              <w:ind/>
              <w:jc w:val="center"/>
              <w:rPr/>
            </w:pPr>
            <w:r>
              <w:rPr>
                <w:rFonts w:ascii="Calibri" w:hAnsi="Calibri"/>
                <w:sz w:val="20"/>
              </w:rPr>
              <w:t xml:space="preserve">1154</w:t>
            </w:r>
            <w:r/>
          </w:p>
        </w:tc>
        <w:tc>
          <w:tcPr>
            <w:shd w:val="clear" w:color="auto" w:fill="ffffff"/>
            <w:tcBorders/>
            <w:tcW w:w="1701" w:type="dxa"/>
          </w:tcPr>
          <w:p>
            <w:pPr>
              <w:pBdr/>
              <w:spacing/>
              <w:ind/>
              <w:jc w:val="center"/>
              <w:rPr/>
            </w:pPr>
            <w:r>
              <w:rPr>
                <w:rFonts w:ascii="Calibri" w:hAnsi="Calibri"/>
                <w:sz w:val="20"/>
              </w:rPr>
              <w:t xml:space="preserve">2700*</w:t>
            </w:r>
            <w:r/>
          </w:p>
        </w:tc>
        <w:tc>
          <w:tcPr>
            <w:shd w:val="clear" w:color="auto" w:fill="ffffff"/>
            <w:tcBorders/>
            <w:tcW w:w="1701" w:type="dxa"/>
          </w:tcPr>
          <w:p>
            <w:pPr>
              <w:pBdr/>
              <w:spacing/>
              <w:ind/>
              <w:jc w:val="center"/>
              <w:rPr/>
            </w:pPr>
            <w:r>
              <w:rPr>
                <w:rFonts w:ascii="Calibri" w:hAnsi="Calibri"/>
                <w:sz w:val="20"/>
              </w:rPr>
              <w:t xml:space="preserve"> 3,117</w:t>
            </w:r>
            <w:r/>
          </w:p>
        </w:tc>
        <w:tc>
          <w:tcPr>
            <w:shd w:val="clear" w:color="auto" w:fill="ffffff"/>
            <w:tcBorders/>
            <w:tcW w:w="1417" w:type="dxa"/>
          </w:tcPr>
          <w:p>
            <w:pPr>
              <w:pBdr/>
              <w:spacing/>
              <w:ind/>
              <w:jc w:val="center"/>
              <w:rPr/>
            </w:pPr>
            <w:r>
              <w:rPr>
                <w:rFonts w:ascii="Calibri" w:hAnsi="Calibri"/>
                <w:sz w:val="20"/>
              </w:rPr>
              <w:t xml:space="preserve"> 3,117</w:t>
            </w:r>
            <w:r/>
          </w:p>
        </w:tc>
      </w:tr>
      <w:tr>
        <w:trPr/>
        <w:tc>
          <w:tcPr>
            <w:shd w:val="clear" w:color="auto" w:fill="ddeeff"/>
            <w:tcBorders/>
            <w:tcW w:w="3118" w:type="dxa"/>
          </w:tcPr>
          <w:p>
            <w:pPr>
              <w:pBdr/>
              <w:spacing/>
              <w:ind/>
              <w:jc w:val="left"/>
              <w:rPr/>
            </w:pPr>
            <w:r>
              <w:rPr>
                <w:rFonts w:ascii="Calibri" w:hAnsi="Calibri"/>
                <w:sz w:val="20"/>
              </w:rPr>
              <w:t xml:space="preserve">Y− Panel</w:t>
            </w:r>
            <w:r/>
          </w:p>
        </w:tc>
        <w:tc>
          <w:tcPr>
            <w:shd w:val="clear" w:color="auto" w:fill="ddeeff"/>
            <w:tcBorders/>
            <w:tcW w:w="680" w:type="dxa"/>
          </w:tcPr>
          <w:p>
            <w:pPr>
              <w:pBdr/>
              <w:spacing/>
              <w:ind/>
              <w:jc w:val="center"/>
              <w:rPr/>
            </w:pPr>
            <w:r>
              <w:rPr>
                <w:rFonts w:ascii="Calibri" w:hAnsi="Calibri"/>
                <w:sz w:val="20"/>
              </w:rPr>
              <w:t xml:space="preserve">1</w:t>
            </w:r>
            <w:r/>
          </w:p>
        </w:tc>
        <w:tc>
          <w:tcPr>
            <w:shd w:val="clear" w:color="auto" w:fill="ddeeff"/>
            <w:tcBorders/>
            <w:tcW w:w="1701" w:type="dxa"/>
          </w:tcPr>
          <w:p>
            <w:pPr>
              <w:pBdr/>
              <w:spacing/>
              <w:ind/>
              <w:jc w:val="center"/>
              <w:rPr/>
            </w:pPr>
            <w:r>
              <w:rPr>
                <w:rFonts w:ascii="Calibri" w:hAnsi="Calibri"/>
                <w:sz w:val="20"/>
              </w:rPr>
              <w:t xml:space="preserve">1117</w:t>
            </w:r>
            <w:r/>
          </w:p>
        </w:tc>
        <w:tc>
          <w:tcPr>
            <w:shd w:val="clear" w:color="auto" w:fill="ddeeff"/>
            <w:tcBorders/>
            <w:tcW w:w="1701" w:type="dxa"/>
          </w:tcPr>
          <w:p>
            <w:pPr>
              <w:pBdr/>
              <w:spacing/>
              <w:ind/>
              <w:jc w:val="center"/>
              <w:rPr/>
            </w:pPr>
            <w:r>
              <w:rPr>
                <w:rFonts w:ascii="Calibri" w:hAnsi="Calibri"/>
                <w:sz w:val="20"/>
              </w:rPr>
              <w:t xml:space="preserve">2700*</w:t>
            </w:r>
            <w:r/>
          </w:p>
        </w:tc>
        <w:tc>
          <w:tcPr>
            <w:shd w:val="clear" w:color="auto" w:fill="ddeeff"/>
            <w:tcBorders/>
            <w:tcW w:w="1701" w:type="dxa"/>
          </w:tcPr>
          <w:p>
            <w:pPr>
              <w:pBdr/>
              <w:spacing/>
              <w:ind/>
              <w:jc w:val="center"/>
              <w:rPr/>
            </w:pPr>
            <w:r>
              <w:rPr>
                <w:rFonts w:ascii="Calibri" w:hAnsi="Calibri"/>
                <w:sz w:val="20"/>
              </w:rPr>
              <w:t xml:space="preserve"> 3,017</w:t>
            </w:r>
            <w:r/>
          </w:p>
        </w:tc>
        <w:tc>
          <w:tcPr>
            <w:shd w:val="clear" w:color="auto" w:fill="ddeeff"/>
            <w:tcBorders/>
            <w:tcW w:w="1417" w:type="dxa"/>
          </w:tcPr>
          <w:p>
            <w:pPr>
              <w:pBdr/>
              <w:spacing/>
              <w:ind/>
              <w:jc w:val="center"/>
              <w:rPr/>
            </w:pPr>
            <w:r>
              <w:rPr>
                <w:rFonts w:ascii="Calibri" w:hAnsi="Calibri"/>
                <w:sz w:val="20"/>
              </w:rPr>
              <w:t xml:space="preserve"> 3,017</w:t>
            </w:r>
            <w:r/>
          </w:p>
        </w:tc>
      </w:tr>
      <w:tr>
        <w:trPr/>
        <w:tc>
          <w:tcPr>
            <w:shd w:val="clear" w:color="auto" w:fill="ffffff"/>
            <w:tcBorders/>
            <w:tcW w:w="3118" w:type="dxa"/>
          </w:tcPr>
          <w:p>
            <w:pPr>
              <w:pBdr/>
              <w:spacing/>
              <w:ind/>
              <w:jc w:val="left"/>
              <w:rPr/>
            </w:pPr>
            <w:r>
              <w:rPr>
                <w:rFonts w:ascii="Calibri" w:hAnsi="Calibri"/>
                <w:sz w:val="20"/>
              </w:rPr>
              <w:t xml:space="preserve">Y+ Panel</w:t>
            </w:r>
            <w:r/>
          </w:p>
        </w:tc>
        <w:tc>
          <w:tcPr>
            <w:shd w:val="clear" w:color="auto" w:fill="ffffff"/>
            <w:tcBorders/>
            <w:tcW w:w="680" w:type="dxa"/>
          </w:tcPr>
          <w:p>
            <w:pPr>
              <w:pBdr/>
              <w:spacing/>
              <w:ind/>
              <w:jc w:val="center"/>
              <w:rPr/>
            </w:pPr>
            <w:r>
              <w:rPr>
                <w:rFonts w:ascii="Calibri" w:hAnsi="Calibri"/>
                <w:sz w:val="20"/>
              </w:rPr>
              <w:t xml:space="preserve">1</w:t>
            </w:r>
            <w:r/>
          </w:p>
        </w:tc>
        <w:tc>
          <w:tcPr>
            <w:shd w:val="clear" w:color="auto" w:fill="ffffff"/>
            <w:tcBorders/>
            <w:tcW w:w="1701" w:type="dxa"/>
          </w:tcPr>
          <w:p>
            <w:pPr>
              <w:pBdr/>
              <w:spacing/>
              <w:ind/>
              <w:jc w:val="center"/>
              <w:rPr/>
            </w:pPr>
            <w:r>
              <w:rPr>
                <w:rFonts w:ascii="Calibri" w:hAnsi="Calibri"/>
                <w:sz w:val="20"/>
              </w:rPr>
              <w:t xml:space="preserve">1111</w:t>
            </w:r>
            <w:r/>
          </w:p>
        </w:tc>
        <w:tc>
          <w:tcPr>
            <w:shd w:val="clear" w:color="auto" w:fill="ffffff"/>
            <w:tcBorders/>
            <w:tcW w:w="1701" w:type="dxa"/>
          </w:tcPr>
          <w:p>
            <w:pPr>
              <w:pBdr/>
              <w:spacing/>
              <w:ind/>
              <w:jc w:val="center"/>
              <w:rPr/>
            </w:pPr>
            <w:r>
              <w:rPr>
                <w:rFonts w:ascii="Calibri" w:hAnsi="Calibri"/>
                <w:sz w:val="20"/>
              </w:rPr>
              <w:t xml:space="preserve">2700*</w:t>
            </w:r>
            <w:r/>
          </w:p>
        </w:tc>
        <w:tc>
          <w:tcPr>
            <w:shd w:val="clear" w:color="auto" w:fill="ffffff"/>
            <w:tcBorders/>
            <w:tcW w:w="1701" w:type="dxa"/>
          </w:tcPr>
          <w:p>
            <w:pPr>
              <w:pBdr/>
              <w:spacing/>
              <w:ind/>
              <w:jc w:val="center"/>
              <w:rPr/>
            </w:pPr>
            <w:r>
              <w:rPr>
                <w:rFonts w:ascii="Calibri" w:hAnsi="Calibri"/>
                <w:sz w:val="20"/>
              </w:rPr>
              <w:t xml:space="preserve"> 3,001</w:t>
            </w:r>
            <w:r/>
          </w:p>
        </w:tc>
        <w:tc>
          <w:tcPr>
            <w:shd w:val="clear" w:color="auto" w:fill="ffffff"/>
            <w:tcBorders/>
            <w:tcW w:w="1417" w:type="dxa"/>
          </w:tcPr>
          <w:p>
            <w:pPr>
              <w:pBdr/>
              <w:spacing/>
              <w:ind/>
              <w:jc w:val="center"/>
              <w:rPr/>
            </w:pPr>
            <w:r>
              <w:rPr>
                <w:rFonts w:ascii="Calibri" w:hAnsi="Calibri"/>
                <w:sz w:val="20"/>
              </w:rPr>
              <w:t xml:space="preserve"> 3,001</w:t>
            </w:r>
            <w:r/>
          </w:p>
        </w:tc>
      </w:tr>
      <w:tr>
        <w:trPr/>
        <w:tc>
          <w:tcPr>
            <w:shd w:val="clear" w:color="auto" w:fill="ddeeff"/>
            <w:tcBorders/>
            <w:tcW w:w="3118" w:type="dxa"/>
          </w:tcPr>
          <w:p>
            <w:pPr>
              <w:pBdr/>
              <w:spacing/>
              <w:ind/>
              <w:jc w:val="left"/>
              <w:rPr/>
            </w:pPr>
            <w:r>
              <w:rPr>
                <w:rFonts w:ascii="Calibri" w:hAnsi="Calibri"/>
                <w:sz w:val="20"/>
              </w:rPr>
              <w:t xml:space="preserve">X− Panel</w:t>
            </w:r>
            <w:r/>
          </w:p>
        </w:tc>
        <w:tc>
          <w:tcPr>
            <w:shd w:val="clear" w:color="auto" w:fill="ddeeff"/>
            <w:tcBorders/>
            <w:tcW w:w="680" w:type="dxa"/>
          </w:tcPr>
          <w:p>
            <w:pPr>
              <w:pBdr/>
              <w:spacing/>
              <w:ind/>
              <w:jc w:val="center"/>
              <w:rPr/>
            </w:pPr>
            <w:r>
              <w:rPr>
                <w:rFonts w:ascii="Calibri" w:hAnsi="Calibri"/>
                <w:sz w:val="20"/>
              </w:rPr>
              <w:t xml:space="preserve">1</w:t>
            </w:r>
            <w:r/>
          </w:p>
        </w:tc>
        <w:tc>
          <w:tcPr>
            <w:shd w:val="clear" w:color="auto" w:fill="ddeeff"/>
            <w:tcBorders/>
            <w:tcW w:w="1701" w:type="dxa"/>
          </w:tcPr>
          <w:p>
            <w:pPr>
              <w:pBdr/>
              <w:spacing/>
              <w:ind/>
              <w:jc w:val="center"/>
              <w:rPr/>
            </w:pPr>
            <w:r>
              <w:rPr>
                <w:rFonts w:ascii="Calibri" w:hAnsi="Calibri"/>
                <w:sz w:val="20"/>
              </w:rPr>
              <w:t xml:space="preserve">1110</w:t>
            </w:r>
            <w:r/>
          </w:p>
        </w:tc>
        <w:tc>
          <w:tcPr>
            <w:shd w:val="clear" w:color="auto" w:fill="ddeeff"/>
            <w:tcBorders/>
            <w:tcW w:w="1701" w:type="dxa"/>
          </w:tcPr>
          <w:p>
            <w:pPr>
              <w:pBdr/>
              <w:spacing/>
              <w:ind/>
              <w:jc w:val="center"/>
              <w:rPr/>
            </w:pPr>
            <w:r>
              <w:rPr>
                <w:rFonts w:ascii="Calibri" w:hAnsi="Calibri"/>
                <w:sz w:val="20"/>
              </w:rPr>
              <w:t xml:space="preserve">2700*</w:t>
            </w:r>
            <w:r/>
          </w:p>
        </w:tc>
        <w:tc>
          <w:tcPr>
            <w:shd w:val="clear" w:color="auto" w:fill="ddeeff"/>
            <w:tcBorders/>
            <w:tcW w:w="1701" w:type="dxa"/>
          </w:tcPr>
          <w:p>
            <w:pPr>
              <w:pBdr/>
              <w:spacing/>
              <w:ind/>
              <w:jc w:val="center"/>
              <w:rPr/>
            </w:pPr>
            <w:r>
              <w:rPr>
                <w:rFonts w:ascii="Calibri" w:hAnsi="Calibri"/>
                <w:sz w:val="20"/>
              </w:rPr>
              <w:t xml:space="preserve"> 2,998</w:t>
            </w:r>
            <w:r/>
          </w:p>
        </w:tc>
        <w:tc>
          <w:tcPr>
            <w:shd w:val="clear" w:color="auto" w:fill="ddeeff"/>
            <w:tcBorders/>
            <w:tcW w:w="1417" w:type="dxa"/>
          </w:tcPr>
          <w:p>
            <w:pPr>
              <w:pBdr/>
              <w:spacing/>
              <w:ind/>
              <w:jc w:val="center"/>
              <w:rPr/>
            </w:pPr>
            <w:r>
              <w:rPr>
                <w:rFonts w:ascii="Calibri" w:hAnsi="Calibri"/>
                <w:sz w:val="20"/>
              </w:rPr>
              <w:t xml:space="preserve"> 2,998</w:t>
            </w:r>
            <w:r/>
          </w:p>
        </w:tc>
      </w:tr>
      <w:tr>
        <w:trPr/>
        <w:tc>
          <w:tcPr>
            <w:shd w:val="clear" w:color="auto" w:fill="ffffff"/>
            <w:tcBorders/>
            <w:tcW w:w="3118" w:type="dxa"/>
          </w:tcPr>
          <w:p>
            <w:pPr>
              <w:pBdr/>
              <w:spacing/>
              <w:ind/>
              <w:jc w:val="left"/>
              <w:rPr/>
            </w:pPr>
            <w:r>
              <w:rPr>
                <w:rFonts w:ascii="Calibri" w:hAnsi="Calibri"/>
                <w:sz w:val="20"/>
              </w:rPr>
              <w:t xml:space="preserve">Shear Panel</w:t>
            </w:r>
            <w:r/>
          </w:p>
        </w:tc>
        <w:tc>
          <w:tcPr>
            <w:shd w:val="clear" w:color="auto" w:fill="ffffff"/>
            <w:tcBorders/>
            <w:tcW w:w="680" w:type="dxa"/>
          </w:tcPr>
          <w:p>
            <w:pPr>
              <w:pBdr/>
              <w:spacing/>
              <w:ind/>
              <w:jc w:val="center"/>
              <w:rPr/>
            </w:pPr>
            <w:r>
              <w:rPr>
                <w:rFonts w:ascii="Calibri" w:hAnsi="Calibri"/>
                <w:sz w:val="20"/>
              </w:rPr>
              <w:t xml:space="preserve">1</w:t>
            </w:r>
            <w:r/>
          </w:p>
        </w:tc>
        <w:tc>
          <w:tcPr>
            <w:shd w:val="clear" w:color="auto" w:fill="ffffff"/>
            <w:tcBorders/>
            <w:tcW w:w="1701" w:type="dxa"/>
          </w:tcPr>
          <w:p>
            <w:pPr>
              <w:pBdr/>
              <w:spacing/>
              <w:ind/>
              <w:jc w:val="center"/>
              <w:rPr/>
            </w:pPr>
            <w:r>
              <w:rPr>
                <w:rFonts w:ascii="Calibri" w:hAnsi="Calibri"/>
                <w:sz w:val="20"/>
              </w:rPr>
              <w:t xml:space="preserve"> 843</w:t>
            </w:r>
            <w:r/>
          </w:p>
        </w:tc>
        <w:tc>
          <w:tcPr>
            <w:shd w:val="clear" w:color="auto" w:fill="ffffff"/>
            <w:tcBorders/>
            <w:tcW w:w="1701" w:type="dxa"/>
          </w:tcPr>
          <w:p>
            <w:pPr>
              <w:pBdr/>
              <w:spacing/>
              <w:ind/>
              <w:jc w:val="center"/>
              <w:rPr/>
            </w:pPr>
            <w:r>
              <w:rPr>
                <w:rFonts w:ascii="Calibri" w:hAnsi="Calibri"/>
                <w:sz w:val="20"/>
              </w:rPr>
              <w:t xml:space="preserve">2700*</w:t>
            </w:r>
            <w:r/>
          </w:p>
        </w:tc>
        <w:tc>
          <w:tcPr>
            <w:shd w:val="clear" w:color="auto" w:fill="ffffff"/>
            <w:tcBorders/>
            <w:tcW w:w="1701" w:type="dxa"/>
          </w:tcPr>
          <w:p>
            <w:pPr>
              <w:pBdr/>
              <w:spacing/>
              <w:ind/>
              <w:jc w:val="center"/>
              <w:rPr/>
            </w:pPr>
            <w:r>
              <w:rPr>
                <w:rFonts w:ascii="Calibri" w:hAnsi="Calibri"/>
                <w:sz w:val="20"/>
              </w:rPr>
              <w:t xml:space="preserve"> 2,275</w:t>
            </w:r>
            <w:r/>
          </w:p>
        </w:tc>
        <w:tc>
          <w:tcPr>
            <w:shd w:val="clear" w:color="auto" w:fill="ffffff"/>
            <w:tcBorders/>
            <w:tcW w:w="1417" w:type="dxa"/>
          </w:tcPr>
          <w:p>
            <w:pPr>
              <w:pBdr/>
              <w:spacing/>
              <w:ind/>
              <w:jc w:val="center"/>
              <w:rPr/>
            </w:pPr>
            <w:r>
              <w:rPr>
                <w:rFonts w:ascii="Calibri" w:hAnsi="Calibri"/>
                <w:sz w:val="20"/>
              </w:rPr>
              <w:t xml:space="preserve"> 2,275</w:t>
            </w:r>
            <w:r/>
          </w:p>
        </w:tc>
      </w:tr>
      <w:tr>
        <w:trPr/>
        <w:tc>
          <w:tcPr>
            <w:shd w:val="clear" w:color="auto" w:fill="ddeeff"/>
            <w:tcBorders/>
            <w:tcW w:w="3118" w:type="dxa"/>
          </w:tcPr>
          <w:p>
            <w:pPr>
              <w:pBdr/>
              <w:spacing/>
              <w:ind/>
              <w:jc w:val="left"/>
              <w:rPr/>
            </w:pPr>
            <w:r>
              <w:rPr>
                <w:rFonts w:ascii="Calibri" w:hAnsi="Calibri"/>
                <w:sz w:val="20"/>
              </w:rPr>
              <w:t xml:space="preserve">Main Thruster Bracket</w:t>
            </w:r>
            <w:r/>
          </w:p>
        </w:tc>
        <w:tc>
          <w:tcPr>
            <w:shd w:val="clear" w:color="auto" w:fill="ddeeff"/>
            <w:tcBorders/>
            <w:tcW w:w="680" w:type="dxa"/>
          </w:tcPr>
          <w:p>
            <w:pPr>
              <w:pBdr/>
              <w:spacing/>
              <w:ind/>
              <w:jc w:val="center"/>
              <w:rPr/>
            </w:pPr>
            <w:r>
              <w:rPr>
                <w:rFonts w:ascii="Calibri" w:hAnsi="Calibri"/>
                <w:sz w:val="20"/>
              </w:rPr>
              <w:t xml:space="preserve">2</w:t>
            </w:r>
            <w:r/>
          </w:p>
        </w:tc>
        <w:tc>
          <w:tcPr>
            <w:shd w:val="clear" w:color="auto" w:fill="ddeeff"/>
            <w:tcBorders/>
            <w:tcW w:w="1701" w:type="dxa"/>
          </w:tcPr>
          <w:p>
            <w:pPr>
              <w:pBdr/>
              <w:spacing/>
              <w:ind/>
              <w:jc w:val="center"/>
              <w:rPr/>
            </w:pPr>
            <w:r>
              <w:rPr>
                <w:rFonts w:ascii="Calibri" w:hAnsi="Calibri"/>
                <w:sz w:val="20"/>
              </w:rPr>
              <w:t xml:space="preserve"> 268</w:t>
            </w:r>
            <w:r/>
          </w:p>
        </w:tc>
        <w:tc>
          <w:tcPr>
            <w:shd w:val="clear" w:color="auto" w:fill="ddeeff"/>
            <w:tcBorders/>
            <w:tcW w:w="1701" w:type="dxa"/>
          </w:tcPr>
          <w:p>
            <w:pPr>
              <w:pBdr/>
              <w:spacing/>
              <w:ind/>
              <w:jc w:val="center"/>
              <w:rPr/>
            </w:pPr>
            <w:r>
              <w:rPr>
                <w:rFonts w:ascii="Calibri" w:hAnsi="Calibri"/>
                <w:sz w:val="20"/>
              </w:rPr>
              <w:t xml:space="preserve">2700</w:t>
            </w:r>
            <w:r/>
          </w:p>
        </w:tc>
        <w:tc>
          <w:tcPr>
            <w:shd w:val="clear" w:color="auto" w:fill="ddeeff"/>
            <w:tcBorders/>
            <w:tcW w:w="1701" w:type="dxa"/>
          </w:tcPr>
          <w:p>
            <w:pPr>
              <w:pBdr/>
              <w:spacing/>
              <w:ind/>
              <w:jc w:val="center"/>
              <w:rPr/>
            </w:pPr>
            <w:r>
              <w:rPr>
                <w:rFonts w:ascii="Calibri" w:hAnsi="Calibri"/>
                <w:sz w:val="20"/>
              </w:rPr>
              <w:t xml:space="preserve">   723</w:t>
            </w:r>
            <w:r/>
          </w:p>
        </w:tc>
        <w:tc>
          <w:tcPr>
            <w:shd w:val="clear" w:color="auto" w:fill="ddeeff"/>
            <w:tcBorders/>
            <w:tcW w:w="1417" w:type="dxa"/>
          </w:tcPr>
          <w:p>
            <w:pPr>
              <w:pBdr/>
              <w:spacing/>
              <w:ind/>
              <w:jc w:val="center"/>
              <w:rPr/>
            </w:pPr>
            <w:r>
              <w:rPr>
                <w:rFonts w:ascii="Calibri" w:hAnsi="Calibri"/>
                <w:sz w:val="20"/>
              </w:rPr>
              <w:t xml:space="preserve"> 1,446</w:t>
            </w:r>
            <w:r/>
          </w:p>
        </w:tc>
      </w:tr>
      <w:tr>
        <w:trPr/>
        <w:tc>
          <w:tcPr>
            <w:shd w:val="clear" w:color="auto" w:fill="ffffff"/>
            <w:tcBorders/>
            <w:tcW w:w="3118" w:type="dxa"/>
          </w:tcPr>
          <w:p>
            <w:pPr>
              <w:pBdr/>
              <w:spacing/>
              <w:ind/>
              <w:jc w:val="left"/>
              <w:rPr/>
            </w:pPr>
            <w:r>
              <w:rPr>
                <w:rFonts w:ascii="Calibri" w:hAnsi="Calibri"/>
                <w:sz w:val="20"/>
              </w:rPr>
              <w:t xml:space="preserve">RS-00000821</w:t>
            </w:r>
            <w:r/>
          </w:p>
        </w:tc>
        <w:tc>
          <w:tcPr>
            <w:shd w:val="clear" w:color="auto" w:fill="ffffff"/>
            <w:tcBorders/>
            <w:tcW w:w="680" w:type="dxa"/>
          </w:tcPr>
          <w:p>
            <w:pPr>
              <w:pBdr/>
              <w:spacing/>
              <w:ind/>
              <w:jc w:val="center"/>
              <w:rPr/>
            </w:pPr>
            <w:r>
              <w:rPr>
                <w:rFonts w:ascii="Calibri" w:hAnsi="Calibri"/>
                <w:sz w:val="20"/>
              </w:rPr>
              <w:t xml:space="preserve">1</w:t>
            </w:r>
            <w:r/>
          </w:p>
        </w:tc>
        <w:tc>
          <w:tcPr>
            <w:shd w:val="clear" w:color="auto" w:fill="ffffff"/>
            <w:tcBorders/>
            <w:tcW w:w="1701" w:type="dxa"/>
          </w:tcPr>
          <w:p>
            <w:pPr>
              <w:pBdr/>
              <w:spacing/>
              <w:ind/>
              <w:jc w:val="center"/>
              <w:rPr/>
            </w:pPr>
            <w:r>
              <w:rPr>
                <w:rFonts w:ascii="Calibri" w:hAnsi="Calibri"/>
                <w:sz w:val="20"/>
              </w:rPr>
              <w:t xml:space="preserve"> 366</w:t>
            </w:r>
            <w:r/>
          </w:p>
        </w:tc>
        <w:tc>
          <w:tcPr>
            <w:shd w:val="clear" w:color="auto" w:fill="ffffff"/>
            <w:tcBorders/>
            <w:tcW w:w="1701" w:type="dxa"/>
          </w:tcPr>
          <w:p>
            <w:pPr>
              <w:pBdr/>
              <w:spacing/>
              <w:ind/>
              <w:jc w:val="center"/>
              <w:rPr/>
            </w:pPr>
            <w:r>
              <w:rPr>
                <w:rFonts w:ascii="Calibri" w:hAnsi="Calibri"/>
                <w:sz w:val="20"/>
              </w:rPr>
              <w:t xml:space="preserve">2700*</w:t>
            </w:r>
            <w:r/>
          </w:p>
        </w:tc>
        <w:tc>
          <w:tcPr>
            <w:shd w:val="clear" w:color="auto" w:fill="ffffff"/>
            <w:tcBorders/>
            <w:tcW w:w="1701" w:type="dxa"/>
          </w:tcPr>
          <w:p>
            <w:pPr>
              <w:pBdr/>
              <w:spacing/>
              <w:ind/>
              <w:jc w:val="center"/>
              <w:rPr/>
            </w:pPr>
            <w:r>
              <w:rPr>
                <w:rFonts w:ascii="Calibri" w:hAnsi="Calibri"/>
                <w:sz w:val="20"/>
              </w:rPr>
              <w:t xml:space="preserve">   988</w:t>
            </w:r>
            <w:r/>
          </w:p>
        </w:tc>
        <w:tc>
          <w:tcPr>
            <w:shd w:val="clear" w:color="auto" w:fill="ffffff"/>
            <w:tcBorders/>
            <w:tcW w:w="1417" w:type="dxa"/>
          </w:tcPr>
          <w:p>
            <w:pPr>
              <w:pBdr/>
              <w:spacing/>
              <w:ind/>
              <w:jc w:val="center"/>
              <w:rPr/>
            </w:pPr>
            <w:r>
              <w:rPr>
                <w:rFonts w:ascii="Calibri" w:hAnsi="Calibri"/>
                <w:sz w:val="20"/>
              </w:rPr>
              <w:t xml:space="preserve">   988</w:t>
            </w:r>
            <w:r/>
          </w:p>
        </w:tc>
      </w:tr>
    </w:tbl>
    <w:p>
      <w:pPr>
        <w:pBdr/>
        <w:spacing/>
        <w:ind/>
        <w:rPr/>
      </w:pPr>
      <w:r/>
      <w:r/>
    </w:p>
    <w:p>
      <w:pPr>
        <w:pBdr/>
        <w:spacing w:after="120"/>
        <w:ind/>
        <w:rPr/>
      </w:pPr>
      <w:r>
        <w:rPr>
          <w:rFonts w:ascii="Calibri" w:hAnsi="Calibri"/>
          <w:i/>
          <w:color w:val="606060"/>
          <w:sz w:val="18"/>
        </w:rPr>
        <w:t xml:space="preserve">* Density assumed from part name; pending material confirmation.</w:t>
      </w:r>
      <w:r/>
    </w:p>
    <w:p>
      <w:pPr>
        <w:pStyle w:val="693"/>
        <w:pBdr/>
        <w:spacing w:after="80" w:before="280"/>
        <w:ind/>
        <w:rPr/>
      </w:pPr>
      <w:r>
        <w:rPr>
          <w:rFonts w:ascii="Calibri" w:hAnsi="Calibri"/>
          <w:b/>
          <w:color w:val="1f3964"/>
          <w:sz w:val="26"/>
        </w:rPr>
        <w:t xml:space="preserve">3.  Recommendations</w:t>
      </w:r>
      <w:r/>
    </w:p>
    <w:p>
      <w:pPr>
        <w:pStyle w:val="694"/>
        <w:pBdr/>
        <w:spacing w:after="80" w:before="200"/>
        <w:ind/>
        <w:rPr/>
      </w:pPr>
      <w:r>
        <w:rPr>
          <w:rFonts w:ascii="Calibri" w:hAnsi="Calibri"/>
          <w:b/>
          <w:color w:val="1f3964"/>
          <w:sz w:val="22"/>
        </w:rPr>
        <w:t xml:space="preserve">3.1  Assign materials in SolidWorks</w:t>
      </w:r>
      <w:r/>
    </w:p>
    <w:p>
      <w:pPr>
        <w:pBdr/>
        <w:spacing w:after="120" w:before="0"/>
        <w:ind/>
        <w:rPr/>
      </w:pPr>
      <w:r>
        <w:rPr>
          <w:rFonts w:ascii="Calibri" w:hAnsi="Calibri"/>
          <w:sz w:val="21"/>
        </w:rPr>
        <w:t xml:space="preserve">Material properties a</w:t>
      </w:r>
      <w:r>
        <w:rPr>
          <w:rFonts w:ascii="Calibri" w:hAnsi="Calibri"/>
          <w:sz w:val="21"/>
        </w:rPr>
        <w:t xml:space="preserve">re not exported to STEP AP214, so the analysis above relies on density values inferred from part names. The most direct remedy is to assign the correct material to each part file in SolidWorks (Edit Material in the part document). Once materials are assign</w:t>
      </w:r>
      <w:r>
        <w:rPr>
          <w:rFonts w:ascii="Calibri" w:hAnsi="Calibri"/>
          <w:sz w:val="21"/>
        </w:rPr>
        <w:t xml:space="preserve">ed, SolidWorks' built-in Mass Properties tool (Evaluate → Mass Properties at assembly level) will report accurate masses directly from the model, without requiring any post-processing. This should be the primary reference for the mass budget going forward.</w:t>
      </w:r>
      <w:r/>
    </w:p>
    <w:p>
      <w:pPr>
        <w:pStyle w:val="694"/>
        <w:pBdr/>
        <w:spacing w:after="80" w:before="200"/>
        <w:ind/>
        <w:rPr/>
      </w:pPr>
      <w:r>
        <w:rPr>
          <w:rFonts w:ascii="Calibri" w:hAnsi="Calibri"/>
          <w:b/>
          <w:color w:val="1f3964"/>
          <w:sz w:val="22"/>
        </w:rPr>
        <w:t xml:space="preserve">3.2  Confirm panel construction and material</w:t>
      </w:r>
      <w:r/>
    </w:p>
    <w:p>
      <w:pPr>
        <w:pBdr/>
        <w:spacing w:after="120" w:before="0"/>
        <w:ind/>
        <w:rPr/>
      </w:pPr>
      <w:r>
        <w:rPr>
          <w:rFonts w:ascii="Calibri" w:hAnsi="Calibri"/>
          <w:sz w:val="21"/>
        </w:rPr>
        <w:t xml:space="preserve">The six face panels and the shear panel collectively represent 75% of the estimated assembly mass. All were modelled here as solid aluminium (2700 kg/m³). If</w:t>
      </w:r>
      <w:r>
        <w:rPr>
          <w:rFonts w:ascii="Calibri" w:hAnsi="Calibri"/>
          <w:sz w:val="21"/>
        </w:rPr>
        <w:t xml:space="preserve"> the panels are sandwich construction with CFRP face sheets and aluminium honeycomb core — which is typical for this class of spacecraft — the effective density is in the range of 600–900 kg/m³ for the panel as a whole. This correction alone could reduce t</w:t>
      </w:r>
      <w:r>
        <w:rPr>
          <w:rFonts w:ascii="Calibri" w:hAnsi="Calibri"/>
          <w:sz w:val="21"/>
        </w:rPr>
        <w:t xml:space="preserve">he total mass estimate by 8–12 kg. The mechanical team should confirm the panel material specification and, if the CAD models are simplified solids rather than true sandwich representations, override the panel densities accordingly in the mass budget tool.</w:t>
      </w:r>
      <w:r/>
    </w:p>
    <w:p>
      <w:pPr>
        <w:pStyle w:val="694"/>
        <w:pBdr/>
        <w:spacing w:after="80" w:before="200"/>
        <w:ind/>
        <w:rPr/>
      </w:pPr>
      <w:r>
        <w:rPr>
          <w:rFonts w:ascii="Calibri" w:hAnsi="Calibri"/>
          <w:b/>
          <w:color w:val="1f3964"/>
          <w:sz w:val="22"/>
        </w:rPr>
        <w:t xml:space="preserve">3.3  Verify COTS component masses against datasheets</w:t>
      </w:r>
      <w:r/>
    </w:p>
    <w:p>
      <w:pPr>
        <w:pBdr/>
        <w:spacing w:after="120" w:before="0"/>
        <w:ind/>
        <w:rPr/>
      </w:pPr>
      <w:r>
        <w:rPr>
          <w:rFonts w:ascii="Calibri" w:hAnsi="Calibri"/>
          <w:sz w:val="21"/>
        </w:rPr>
        <w:t xml:space="preserve">Geometric volume is not a reliable mass estimator for COTS components, which are typically represented in assemblies as simplified or defeatured bodies. The following items in particular should be replaced with datasheet-quoted masses:</w:t>
      </w:r>
      <w:r/>
    </w:p>
    <w:p>
      <w:pPr>
        <w:pStyle w:val="723"/>
        <w:pBdr/>
        <w:spacing w:after="80"/>
        <w:ind w:left="567"/>
        <w:rPr/>
      </w:pPr>
      <w:r>
        <w:rPr>
          <w:rFonts w:ascii="Calibri" w:hAnsi="Calibri"/>
          <w:b/>
          <w:sz w:val="21"/>
        </w:rPr>
        <w:t xml:space="preserve">BHT-350 T1 (Busek Hall-effect thruster): </w:t>
      </w:r>
      <w:r>
        <w:rPr>
          <w:rFonts w:ascii="Calibri" w:hAnsi="Calibri"/>
          <w:sz w:val="21"/>
        </w:rPr>
        <w:t xml:space="preserve">The script returns 2.12 kg per unit from a geometry that may be a placeholder model. The Busek datasheet should be the authoritative source.</w:t>
      </w:r>
      <w:r/>
    </w:p>
    <w:p>
      <w:pPr>
        <w:pStyle w:val="723"/>
        <w:pBdr/>
        <w:spacing w:after="80"/>
        <w:ind w:left="567"/>
        <w:rPr/>
      </w:pPr>
      <w:r>
        <w:rPr>
          <w:rFonts w:ascii="Calibri" w:hAnsi="Calibri"/>
          <w:b/>
          <w:sz w:val="21"/>
        </w:rPr>
        <w:t xml:space="preserve">RS-00000821, RS-00000873, RS-00000450: </w:t>
      </w:r>
      <w:r>
        <w:rPr>
          <w:rFonts w:ascii="Calibri" w:hAnsi="Calibri"/>
          <w:sz w:val="21"/>
        </w:rPr>
        <w:t xml:space="preserve">Part numbers not resolved from the assembly name. Identify via the BOM and source from the supplier datasheet.</w:t>
      </w:r>
      <w:r/>
    </w:p>
    <w:p>
      <w:pPr>
        <w:pStyle w:val="723"/>
        <w:pBdr/>
        <w:spacing w:after="80"/>
        <w:ind w:left="567"/>
        <w:rPr/>
      </w:pPr>
      <w:r>
        <w:rPr>
          <w:rFonts w:ascii="Calibri" w:hAnsi="Calibri"/>
          <w:b/>
          <w:sz w:val="21"/>
        </w:rPr>
        <w:t xml:space="preserve">COTS-000093, COTS-000110, COTS-000111, COTS-000112, COTS-000114: </w:t>
      </w:r>
      <w:r>
        <w:rPr>
          <w:rFonts w:ascii="Calibri" w:hAnsi="Calibri"/>
          <w:sz w:val="21"/>
        </w:rPr>
        <w:t xml:space="preserve">Internal COTS designators. Cross-reference with the procurement register to obtain quoted masses.</w:t>
      </w:r>
      <w:r/>
    </w:p>
    <w:p>
      <w:pPr>
        <w:pBdr/>
        <w:spacing/>
        <w:ind/>
        <w:rPr/>
      </w:pPr>
      <w:r/>
      <w:r/>
    </w:p>
    <w:p>
      <w:pPr>
        <w:pStyle w:val="694"/>
        <w:pBdr/>
        <w:spacing w:after="80" w:before="200"/>
        <w:ind/>
        <w:rPr/>
      </w:pPr>
      <w:r>
        <w:rPr>
          <w:rFonts w:ascii="Calibri" w:hAnsi="Calibri"/>
          <w:b/>
          <w:color w:val="1f3964"/>
          <w:sz w:val="22"/>
        </w:rPr>
        <w:t xml:space="preserve">3.4  Address duplicated part names in STEP export</w:t>
      </w:r>
      <w:r/>
    </w:p>
    <w:p>
      <w:pPr>
        <w:pBdr/>
        <w:spacing w:after="120" w:before="0"/>
        <w:ind/>
        <w:rPr/>
      </w:pPr>
      <w:r>
        <w:rPr>
          <w:rFonts w:ascii="Calibri" w:hAnsi="Calibri"/>
          <w:sz w:val="21"/>
        </w:rPr>
        <w:t xml:space="preserve">SolidWorks AP214 exports are appending each part's name to itself (e.g. "Z-_Panel_-(2)_Z-_Panel_-(2)"). While t</w:t>
      </w:r>
      <w:r>
        <w:rPr>
          <w:rFonts w:ascii="Calibri" w:hAnsi="Calibri"/>
          <w:sz w:val="21"/>
        </w:rPr>
        <w:t xml:space="preserve">his does not affect the volume computation, it complicates BOM readability and downstream tooling. The issue can be resolved by selecting AP242 format on export, or by adjusting the STEP export options under File → Save As → Options (uncheck "Export IDs").</w:t>
      </w:r>
      <w:r/>
    </w:p>
    <w:p>
      <w:pPr>
        <w:pStyle w:val="694"/>
        <w:pBdr/>
        <w:spacing w:after="80" w:before="200"/>
        <w:ind/>
        <w:rPr/>
      </w:pPr>
      <w:r>
        <w:rPr>
          <w:rFonts w:ascii="Calibri" w:hAnsi="Calibri"/>
          <w:b/>
          <w:color w:val="1f3964"/>
          <w:sz w:val="22"/>
        </w:rPr>
        <w:t xml:space="preserve">3.5  Establish a controlled mass budget baseline</w:t>
      </w:r>
      <w:r/>
    </w:p>
    <w:p>
      <w:pPr>
        <w:pBdr/>
        <w:spacing w:after="120" w:before="0"/>
        <w:ind/>
        <w:rPr/>
      </w:pPr>
      <w:r>
        <w:rPr>
          <w:rFonts w:ascii="Calibri" w:hAnsi="Calibri"/>
          <w:sz w:val="21"/>
        </w:rPr>
        <w:t xml:space="preserve">Once material assignments and COTS masses are confirmed, a formal mass budget baseline should be established with mass margins applied per the project's systems engineering margin policy (typically 20% at componen</w:t>
      </w:r>
      <w:r>
        <w:rPr>
          <w:rFonts w:ascii="Calibri" w:hAnsi="Calibri"/>
          <w:sz w:val="21"/>
        </w:rPr>
        <w:t xml:space="preserve">t level at this stage). The mass budget tool used here can be re-run against any updated STEP export and accepts a JSON override file for COTS and material corrections, allowing iterative updates without re-parsing the full assembly each time from scratch.</w:t>
      </w:r>
      <w:r/>
    </w:p>
    <w:sectPr>
      <w:footnotePr/>
      <w:endnotePr/>
      <w:type w:val="nextPage"/>
      <w:pgSz w:h="15840" w:orient="portrait" w:w="12240"/>
      <w:pgMar w:top="1417" w:right="1417" w:bottom="141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2026-05-10T21:24:03Z</dcterms:modified>
  <cp:category/>
</cp:coreProperties>
</file>