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Calibri" w:hAnsi="Calibri"/>
          <w:b/>
          <w:color w:val="1E293B"/>
          <w:sz w:val="36"/>
        </w:rPr>
        <w:t>CSV Data Package — Structure and Content Guide</w:t>
      </w:r>
    </w:p>
    <w:p>
      <w:pPr>
        <w:spacing w:after="20" w:before="0"/>
      </w:pPr>
      <w:r>
        <w:rPr>
          <w:rFonts w:ascii="Calibri" w:hAnsi="Calibri"/>
          <w:b/>
          <w:color w:val="64748B"/>
          <w:sz w:val="18"/>
        </w:rPr>
        <w:t xml:space="preserve">Prepared for:  </w:t>
      </w:r>
      <w:r>
        <w:rPr>
          <w:rFonts w:ascii="Calibri" w:hAnsi="Calibri"/>
          <w:color w:val="334155"/>
          <w:sz w:val="18"/>
        </w:rPr>
        <w:t>External Consultant</w:t>
      </w:r>
    </w:p>
    <w:p>
      <w:pPr>
        <w:spacing w:after="20" w:before="0"/>
      </w:pPr>
      <w:r>
        <w:rPr>
          <w:rFonts w:ascii="Calibri" w:hAnsi="Calibri"/>
          <w:b/>
          <w:color w:val="64748B"/>
          <w:sz w:val="18"/>
        </w:rPr>
        <w:t xml:space="preserve">Dataset:  </w:t>
      </w:r>
      <w:r>
        <w:rPr>
          <w:rFonts w:ascii="Calibri" w:hAnsi="Calibri"/>
          <w:color w:val="334155"/>
          <w:sz w:val="18"/>
        </w:rPr>
        <w:t>Endurance FR RDV — GEO Rendezvous Mission (Simulation Run, Sep 2028)</w:t>
      </w:r>
    </w:p>
    <w:p>
      <w:pPr>
        <w:spacing w:after="20" w:before="0"/>
      </w:pPr>
      <w:r>
        <w:rPr>
          <w:rFonts w:ascii="Calibri" w:hAnsi="Calibri"/>
          <w:b/>
          <w:color w:val="64748B"/>
          <w:sz w:val="18"/>
        </w:rPr>
        <w:t xml:space="preserve">Prepared by:  </w:t>
      </w:r>
      <w:r>
        <w:rPr>
          <w:rFonts w:ascii="Calibri" w:hAnsi="Calibri"/>
          <w:color w:val="334155"/>
          <w:sz w:val="18"/>
        </w:rPr>
        <w:t>Karan Anand</w:t>
      </w:r>
    </w:p>
    <w:p>
      <w:pPr>
        <w:spacing w:after="80"/>
      </w:pPr>
    </w:p>
    <w:p>
      <w:pPr>
        <w:spacing w:before="280" w:after="80"/>
      </w:pPr>
      <w:r>
        <w:rPr>
          <w:rFonts w:ascii="Calibri" w:hAnsi="Calibri"/>
          <w:b/>
          <w:color w:val="1E293B"/>
          <w:sz w:val="26"/>
        </w:rPr>
        <w:t>1.  Files Provided</w:t>
      </w:r>
    </w:p>
    <w:p>
      <w:pPr>
        <w:spacing w:after="120" w:before="0"/>
      </w:pPr>
      <w:r>
        <w:rPr>
          <w:rFonts w:ascii="Calibri" w:hAnsi="Calibri"/>
          <w:i w:val="0"/>
          <w:color w:val="334155"/>
          <w:sz w:val="20"/>
        </w:rPr>
        <w:t>Four CSV files are provided, one per combination of simulation run and attitude mode. Each file covers the full mission timeline — rendezvous approach (RDV) followed directly by the inspection phase (INS) — at a uniform propagation timestep of 300 seconds.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85"/>
            <w:shd w:val="clear" w:color="auto" w:fill="1E293B"/>
          </w:tcPr>
          <w:p>
            <w:pPr>
              <w:jc w:val="left"/>
            </w:pPr>
            <w:r>
              <w:rPr>
                <w:rFonts w:ascii="Calibri" w:hAnsi="Calibri"/>
                <w:b/>
                <w:color w:val="FFFFFF"/>
                <w:sz w:val="18"/>
              </w:rPr>
              <w:t>File</w:t>
            </w:r>
          </w:p>
        </w:tc>
        <w:tc>
          <w:tcPr>
            <w:tcW w:type="dxa" w:w="3685"/>
            <w:shd w:val="clear" w:color="auto" w:fill="1E293B"/>
          </w:tcPr>
          <w:p>
            <w:pPr>
              <w:jc w:val="left"/>
            </w:pPr>
            <w:r>
              <w:rPr>
                <w:rFonts w:ascii="Calibri" w:hAnsi="Calibri"/>
                <w:b/>
                <w:color w:val="FFFFFF"/>
                <w:sz w:val="18"/>
              </w:rPr>
              <w:t>Attitude Mode</w:t>
            </w:r>
          </w:p>
        </w:tc>
        <w:tc>
          <w:tcPr>
            <w:tcW w:type="dxa" w:w="1134"/>
            <w:shd w:val="clear" w:color="auto" w:fill="1E293B"/>
          </w:tcPr>
          <w:p>
            <w:pPr>
              <w:jc w:val="left"/>
            </w:pPr>
            <w:r>
              <w:rPr>
                <w:rFonts w:ascii="Calibri" w:hAnsi="Calibri"/>
                <w:b/>
                <w:color w:val="FFFFFF"/>
                <w:sz w:val="18"/>
              </w:rPr>
              <w:t>Rows</w:t>
            </w:r>
          </w:p>
        </w:tc>
        <w:tc>
          <w:tcPr>
            <w:tcW w:type="dxa" w:w="1134"/>
            <w:shd w:val="clear" w:color="auto" w:fill="1E293B"/>
          </w:tcPr>
          <w:p>
            <w:pPr>
              <w:jc w:val="left"/>
            </w:pPr>
            <w:r>
              <w:rPr>
                <w:rFonts w:ascii="Calibri" w:hAnsi="Calibri"/>
                <w:b/>
                <w:color w:val="FFFFFF"/>
                <w:sz w:val="18"/>
              </w:rPr>
              <w:t>Columns</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og3_target_SunOpt_nominal.csv</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Mode 1 — Target+Sun  (og3 run)</w:t>
            </w:r>
          </w:p>
        </w:tc>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6,691</w:t>
            </w:r>
          </w:p>
        </w:tc>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40</w:t>
            </w:r>
          </w:p>
        </w:tc>
      </w:tr>
      <w:tr>
        <w:tc>
          <w:tcPr>
            <w:tcW w:type="dxa" w:w="3685"/>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og3_Nadir_sunOpt_nominal.csv</w:t>
            </w:r>
          </w:p>
        </w:tc>
        <w:tc>
          <w:tcPr>
            <w:tcW w:type="dxa" w:w="3685"/>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Mode 2 — Nadir+Sun   (og3 run)</w:t>
            </w:r>
          </w:p>
        </w:tc>
        <w:tc>
          <w:tcPr>
            <w:tcW w:type="dxa" w:w="1134"/>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6,691</w:t>
            </w:r>
          </w:p>
        </w:tc>
        <w:tc>
          <w:tcPr>
            <w:tcW w:type="dxa" w:w="1134"/>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40</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end1_target_sunOpt.csv</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Mode 1 — Target+Sun  (end1 run)</w:t>
            </w:r>
          </w:p>
        </w:tc>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6,621</w:t>
            </w:r>
          </w:p>
        </w:tc>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49</w:t>
            </w:r>
          </w:p>
        </w:tc>
      </w:tr>
      <w:tr>
        <w:tc>
          <w:tcPr>
            <w:tcW w:type="dxa" w:w="3685"/>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end1_nadir_sunopt.csv</w:t>
            </w:r>
          </w:p>
        </w:tc>
        <w:tc>
          <w:tcPr>
            <w:tcW w:type="dxa" w:w="3685"/>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Mode 2 — Nadir+Sun   (end1 run)</w:t>
            </w:r>
          </w:p>
        </w:tc>
        <w:tc>
          <w:tcPr>
            <w:tcW w:type="dxa" w:w="1134"/>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6,621</w:t>
            </w:r>
          </w:p>
        </w:tc>
        <w:tc>
          <w:tcPr>
            <w:tcW w:type="dxa" w:w="1134"/>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49</w:t>
            </w:r>
          </w:p>
        </w:tc>
      </w:tr>
    </w:tbl>
    <w:p>
      <w:pPr>
        <w:spacing w:after="80" w:before="0"/>
      </w:pPr>
      <w:r>
        <w:rPr>
          <w:rFonts w:ascii="Calibri" w:hAnsi="Calibri"/>
          <w:i w:val="0"/>
          <w:color w:val="334155"/>
          <w:sz w:val="20"/>
        </w:rPr>
        <w:t>The column count differs between og3 (40 columns) and end1 (49 columns) because the two runs use propulsion models with different fidelity: og3 models 8 RCS thruster channels and 2 PPS firing values; end1 models 16 and 3 respectively. The scenario, trajectory, and attitude data are structured identically in both runs.</w:t>
      </w:r>
    </w:p>
    <w:p>
      <w:pPr>
        <w:spacing w:after="120" w:before="0"/>
        <w:ind w:left="283"/>
      </w:pPr>
      <w:r>
        <w:rPr>
          <w:rFonts w:ascii="Calibri Light" w:hAnsi="Calibri Light"/>
          <w:i/>
          <w:color w:val="64748B"/>
          <w:sz w:val="18"/>
        </w:rPr>
        <w:t>Mode 1 (Target+Sun): primary boresight (+Z body axis) constrained to the rendezvous target; solar array normal optimised toward the Sun.</w:t>
        <w:br/>
        <w:t>Mode 2 (Nadir+Sun): primary boresight (+Z body axis) constrained to the local nadir (Earth centre direction); solar array normal optimised toward the Sun.</w:t>
      </w:r>
    </w:p>
    <w:p>
      <w:pPr>
        <w:spacing w:before="280" w:after="80"/>
      </w:pPr>
      <w:r>
        <w:rPr>
          <w:rFonts w:ascii="Calibri" w:hAnsi="Calibri"/>
          <w:b/>
          <w:color w:val="1E293B"/>
          <w:sz w:val="26"/>
        </w:rPr>
        <w:t>2.  Overall Structure</w:t>
      </w:r>
    </w:p>
    <w:p>
      <w:pPr>
        <w:spacing w:after="120" w:before="0"/>
      </w:pPr>
      <w:r>
        <w:rPr>
          <w:rFonts w:ascii="Calibri" w:hAnsi="Calibri"/>
          <w:i w:val="0"/>
          <w:color w:val="334155"/>
          <w:sz w:val="20"/>
        </w:rPr>
        <w:t>Each file is a flat, single-header CSV. Every row corresponds to one propagation timestep and is indexed by a UTC timestamp (column UTC_ISOC). The file is continuous — no separator rows or gaps exist between the RDV and INS phases. The phase boundary can be identified programmatically from the along-track separation column a_dlambda_m: it occurs at the first epoch where this value crosses −5,000 m (approximately mission day 15.1 for end1, day 15.2 for og3).</w:t>
      </w:r>
    </w:p>
    <w:p>
      <w:pPr>
        <w:spacing w:after="120" w:before="0"/>
      </w:pPr>
      <w:r>
        <w:rPr>
          <w:rFonts w:ascii="Calibri" w:hAnsi="Calibri"/>
          <w:i w:val="0"/>
          <w:color w:val="334155"/>
          <w:sz w:val="20"/>
        </w:rPr>
        <w:t>The columns fall into two logical groups, both present in every row:</w:t>
      </w:r>
    </w:p>
    <w:p>
      <w:pPr>
        <w:spacing w:after="40" w:before="0"/>
        <w:ind w:left="283"/>
      </w:pPr>
      <w:r>
        <w:rPr>
          <w:rFonts w:ascii="Calibri" w:hAnsi="Calibri"/>
          <w:b/>
          <w:color w:val="1E293B"/>
          <w:sz w:val="20"/>
        </w:rPr>
        <w:t xml:space="preserve">Group 1 — State Data  </w:t>
      </w:r>
      <w:r>
        <w:rPr>
          <w:rFonts w:ascii="Calibri" w:hAnsi="Calibri"/>
          <w:color w:val="334155"/>
          <w:sz w:val="20"/>
        </w:rPr>
        <w:t>(columns 1–28):  trajectory, attitude, and pointing quantities at each timestep. All rows are fully populated.</w:t>
      </w:r>
    </w:p>
    <w:p>
      <w:pPr>
        <w:spacing w:after="160" w:before="0"/>
        <w:ind w:left="283"/>
      </w:pPr>
      <w:r>
        <w:rPr>
          <w:rFonts w:ascii="Calibri" w:hAnsi="Calibri"/>
          <w:b/>
          <w:color w:val="1E293B"/>
          <w:sz w:val="20"/>
        </w:rPr>
        <w:t xml:space="preserve">Group 2 — Propulsion Event Data  </w:t>
      </w:r>
      <w:r>
        <w:rPr>
          <w:rFonts w:ascii="Calibri" w:hAnsi="Calibri"/>
          <w:color w:val="334155"/>
          <w:sz w:val="20"/>
        </w:rPr>
        <w:t>(columns 29 onward):  firing data extracted from the MATLAB simulation packages and in-filled into the matching time-series row. All firing columns are zero for rows with no propulsion event — there are no blank or NaN cells in the file.</w:t>
      </w:r>
    </w:p>
    <w:p>
      <w:pPr>
        <w:spacing w:before="280" w:after="80"/>
      </w:pPr>
      <w:r>
        <w:rPr>
          <w:rFonts w:ascii="Calibri" w:hAnsi="Calibri"/>
          <w:b/>
          <w:color w:val="1E293B"/>
          <w:sz w:val="26"/>
        </w:rPr>
        <w:t>3.  Column Reference</w:t>
      </w:r>
    </w:p>
    <w:p>
      <w:pPr>
        <w:spacing w:before="160" w:after="80"/>
      </w:pPr>
      <w:r>
        <w:rPr>
          <w:rFonts w:ascii="Calibri" w:hAnsi="Calibri"/>
          <w:b/>
          <w:color w:val="1D4ED8"/>
          <w:sz w:val="22"/>
        </w:rPr>
        <w:t>3.1   Group 1 — State Data (columns 1–28, all rows populated)</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1E293B"/>
          </w:tcPr>
          <w:p>
            <w:pPr>
              <w:jc w:val="left"/>
            </w:pPr>
            <w:r>
              <w:rPr>
                <w:rFonts w:ascii="Calibri" w:hAnsi="Calibri"/>
                <w:b/>
                <w:color w:val="FFFFFF"/>
                <w:sz w:val="18"/>
              </w:rPr>
              <w:t>Column name(s)</w:t>
            </w:r>
          </w:p>
        </w:tc>
        <w:tc>
          <w:tcPr>
            <w:tcW w:type="dxa" w:w="5102"/>
            <w:shd w:val="clear" w:color="auto" w:fill="1E293B"/>
          </w:tcPr>
          <w:p>
            <w:pPr>
              <w:jc w:val="left"/>
            </w:pPr>
            <w:r>
              <w:rPr>
                <w:rFonts w:ascii="Calibri" w:hAnsi="Calibri"/>
                <w:b/>
                <w:color w:val="FFFFFF"/>
                <w:sz w:val="18"/>
              </w:rPr>
              <w:t>Description</w:t>
            </w:r>
          </w:p>
        </w:tc>
        <w:tc>
          <w:tcPr>
            <w:tcW w:type="dxa" w:w="850"/>
            <w:shd w:val="clear" w:color="auto" w:fill="1E293B"/>
          </w:tcPr>
          <w:p>
            <w:pPr>
              <w:jc w:val="left"/>
            </w:pPr>
            <w:r>
              <w:rPr>
                <w:rFonts w:ascii="Calibri" w:hAnsi="Calibri"/>
                <w:b/>
                <w:color w:val="FFFFFF"/>
                <w:sz w:val="18"/>
              </w:rPr>
              <w:t>Units</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UTC_ISOC</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Timestamp in ISO 8601 format, UTC, nanosecond precision.</w:t>
            </w:r>
          </w:p>
        </w:tc>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w:t>
            </w:r>
          </w:p>
        </w:tc>
      </w:tr>
      <w:tr>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pos_Earth2satCoG_ECI_m_x/y/z</w:t>
            </w:r>
          </w:p>
        </w:tc>
        <w:tc>
          <w:tcPr>
            <w:tcW w:type="dxa" w:w="51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Servicer centre-of-gravity position vector in the Earth-Centred Inertial (ECI) frame.</w:t>
            </w:r>
          </w:p>
        </w:tc>
        <w:tc>
          <w:tcPr>
            <w:tcW w:type="dxa" w:w="850"/>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vel_Earth2satCoG_ECI_ms_x/y/z</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Servicer velocity vector in the ECI frame.</w:t>
            </w:r>
          </w:p>
        </w:tc>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m/s</w:t>
            </w:r>
          </w:p>
        </w:tc>
      </w:tr>
      <w:tr>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pos_Earth2tgtCoG_ECI_m_x/y/z</w:t>
            </w:r>
          </w:p>
        </w:tc>
        <w:tc>
          <w:tcPr>
            <w:tcW w:type="dxa" w:w="51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Rendezvous target centre-of-gravity position vector in the ECI frame.</w:t>
            </w:r>
          </w:p>
        </w:tc>
        <w:tc>
          <w:tcPr>
            <w:tcW w:type="dxa" w:w="850"/>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pos_Earth2Sun_ECI_m_x/y/z</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Sun position vector in the ECI frame.</w:t>
            </w:r>
          </w:p>
        </w:tc>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w:t>
            </w:r>
          </w:p>
        </w:tc>
      </w:tr>
      <w:tr>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quat_ECI2MRF_a/i/j/k</w:t>
            </w:r>
          </w:p>
        </w:tc>
        <w:tc>
          <w:tcPr>
            <w:tcW w:type="dxa" w:w="51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Attitude quaternion transforming vectors from ECI to the Mission Reference Frame (body frame). Scalar-first convention: a = w (scalar part), i/j/k = x/y/z (vector part).</w:t>
            </w:r>
          </w:p>
        </w:tc>
        <w:tc>
          <w:tcPr>
            <w:tcW w:type="dxa" w:w="850"/>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angle_SunPhaseAngle_rad</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Sun phase angle at the current epoch.</w:t>
            </w:r>
          </w:p>
        </w:tc>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rad</w:t>
            </w:r>
          </w:p>
        </w:tc>
      </w:tr>
      <w:tr>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uv_sat2Earth_MRF_x/y/z</w:t>
            </w:r>
          </w:p>
        </w:tc>
        <w:tc>
          <w:tcPr>
            <w:tcW w:type="dxa" w:w="51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Unit vector from the spacecraft to the Earth centre, expressed in the body frame. Pre-computed pointing reference; consistent with the attitude quaternion.</w:t>
            </w:r>
          </w:p>
        </w:tc>
        <w:tc>
          <w:tcPr>
            <w:tcW w:type="dxa" w:w="850"/>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uv_sat2Target_MRF_x/y/z</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Unit vector from the spacecraft to the rendezvous target, expressed in the body frame.</w:t>
            </w:r>
          </w:p>
        </w:tc>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w:t>
            </w:r>
          </w:p>
        </w:tc>
      </w:tr>
      <w:tr>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angle_sunFromMRFaxes_deg_x/y/z</w:t>
            </w:r>
          </w:p>
        </w:tc>
        <w:tc>
          <w:tcPr>
            <w:tcW w:type="dxa" w:w="51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Angle between the Sun direction vector and each body axis: x = angle from +X axis, y = angle from +Y axis, z = angle from +Z axis (camera boresight). Used directly for thermal constraint analysis.</w:t>
            </w:r>
          </w:p>
        </w:tc>
        <w:tc>
          <w:tcPr>
            <w:tcW w:type="dxa" w:w="850"/>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deg</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a_dlambda_m</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Along-track relative separation between servicer and target, computed along the GEO arc (servicer minus target). Negative values indicate the servicer is trailing the target. Phase boundary occurs at −5,000 m.</w:t>
            </w:r>
          </w:p>
        </w:tc>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w:t>
            </w:r>
          </w:p>
        </w:tc>
      </w:tr>
    </w:tbl>
    <w:p>
      <w:pPr>
        <w:spacing w:before="160" w:after="80"/>
      </w:pPr>
      <w:r>
        <w:rPr>
          <w:rFonts w:ascii="Calibri" w:hAnsi="Calibri"/>
          <w:b/>
          <w:color w:val="1D4ED8"/>
          <w:sz w:val="22"/>
        </w:rPr>
        <w:t>3.2   Group 2 — Propulsion Event Data (columns 29 onward)</w:t>
      </w:r>
    </w:p>
    <w:p>
      <w:pPr>
        <w:spacing w:after="120" w:before="0"/>
      </w:pPr>
      <w:r>
        <w:rPr>
          <w:rFonts w:ascii="Calibri" w:hAnsi="Calibri"/>
          <w:i w:val="0"/>
          <w:color w:val="334155"/>
          <w:sz w:val="20"/>
        </w:rPr>
        <w:t>These columns are populated only for rows that coincide with a recorded propulsion event. All other rows carry the value 0 across every firing column. The state data columns (Group 1) remain fully populated on firing rows — both datasets are always present together.</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1E293B"/>
          </w:tcPr>
          <w:p>
            <w:pPr>
              <w:jc w:val="left"/>
            </w:pPr>
            <w:r>
              <w:rPr>
                <w:rFonts w:ascii="Calibri" w:hAnsi="Calibri"/>
                <w:b/>
                <w:color w:val="FFFFFF"/>
                <w:sz w:val="18"/>
              </w:rPr>
              <w:t>Column name(s)</w:t>
            </w:r>
          </w:p>
        </w:tc>
        <w:tc>
          <w:tcPr>
            <w:tcW w:type="dxa" w:w="5102"/>
            <w:shd w:val="clear" w:color="auto" w:fill="1E293B"/>
          </w:tcPr>
          <w:p>
            <w:pPr>
              <w:jc w:val="left"/>
            </w:pPr>
            <w:r>
              <w:rPr>
                <w:rFonts w:ascii="Calibri" w:hAnsi="Calibri"/>
                <w:b/>
                <w:color w:val="FFFFFF"/>
                <w:sz w:val="18"/>
              </w:rPr>
              <w:t>Description</w:t>
            </w:r>
          </w:p>
        </w:tc>
        <w:tc>
          <w:tcPr>
            <w:tcW w:type="dxa" w:w="850"/>
            <w:shd w:val="clear" w:color="auto" w:fill="1E293B"/>
          </w:tcPr>
          <w:p>
            <w:pPr>
              <w:jc w:val="left"/>
            </w:pPr>
            <w:r>
              <w:rPr>
                <w:rFonts w:ascii="Calibri" w:hAnsi="Calibri"/>
                <w:b/>
                <w:color w:val="FFFFFF"/>
                <w:sz w:val="18"/>
              </w:rPr>
              <w:t>Units</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maneuver_type</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Integer event flag identifying the propulsion system active at this timestep.</w:t>
              <w:br/>
              <w:t xml:space="preserve">  0 = no firing event</w:t>
              <w:br/>
              <w:t xml:space="preserve">  1 = PPS firing (Primary Propulsion System — main engine)</w:t>
              <w:br/>
              <w:t xml:space="preserve">  2 = RCS firing (Reaction Control System)</w:t>
            </w:r>
          </w:p>
        </w:tc>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integer</w:t>
            </w:r>
          </w:p>
        </w:tc>
      </w:tr>
      <w:tr>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manTime_hr</w:t>
            </w:r>
          </w:p>
        </w:tc>
        <w:tc>
          <w:tcPr>
            <w:tcW w:type="dxa" w:w="51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Mission elapsed time of the firing event as recorded in the simulation data package. This is the exact firing epoch, not the rounded grid timestamp — see Section 5 for the distinction.</w:t>
            </w:r>
          </w:p>
        </w:tc>
        <w:tc>
          <w:tcPr>
            <w:tcW w:type="dxa" w:w="850"/>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hours</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firingTime_rcs_T01 … T08 (og3)</w:t>
              <w:br/>
              <w:t>firingTime_rcs_T01 … T16 (end1)</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Per-thruster firing duration for each RCS thruster channel. The number of channels reflects the propulsion model fidelity of each simulation run. Zero on all non-RCS rows.</w:t>
            </w:r>
          </w:p>
        </w:tc>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s</w:t>
            </w:r>
          </w:p>
        </w:tc>
      </w:tr>
      <w:tr>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firingTime_pps_1, _2 (og3)</w:t>
              <w:br/>
              <w:t>firingTime_pps_1, _2, _3 (end1)</w:t>
            </w:r>
          </w:p>
        </w:tc>
        <w:tc>
          <w:tcPr>
            <w:tcW w:type="dxa" w:w="51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Firing values for each PPS (main engine) channel. Zero on all non-PPS rows.</w:t>
            </w:r>
          </w:p>
        </w:tc>
        <w:tc>
          <w:tcPr>
            <w:tcW w:type="dxa" w:w="850"/>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s</w:t>
            </w:r>
          </w:p>
        </w:tc>
      </w:tr>
    </w:tbl>
    <w:p>
      <w:pPr>
        <w:spacing w:before="280" w:after="80"/>
      </w:pPr>
      <w:r>
        <w:rPr>
          <w:rFonts w:ascii="Calibri" w:hAnsi="Calibri"/>
          <w:b/>
          <w:color w:val="1E293B"/>
          <w:sz w:val="26"/>
        </w:rPr>
        <w:t>4.  Propulsion System Distinction</w:t>
      </w:r>
    </w:p>
    <w:p>
      <w:pPr>
        <w:spacing w:after="120" w:before="0"/>
      </w:pPr>
      <w:r>
        <w:rPr>
          <w:rFonts w:ascii="Calibri" w:hAnsi="Calibri"/>
          <w:i w:val="0"/>
          <w:color w:val="334155"/>
          <w:sz w:val="20"/>
        </w:rPr>
        <w:t>PPS — Primary Propulsion System (main engine).  Large impulsive corrections applied exclusively during the far-range rendezvous phase. Both simulation runs record 80 PPS events, all occurring before the phase boundary (i.e. within the RDV portion of the timeline). No PPS activity is recorded during the inspection phase.</w:t>
      </w:r>
    </w:p>
    <w:p>
      <w:pPr>
        <w:spacing w:after="120" w:before="0"/>
      </w:pPr>
      <w:r>
        <w:rPr>
          <w:rFonts w:ascii="Calibri" w:hAnsi="Calibri"/>
          <w:i w:val="0"/>
          <w:color w:val="334155"/>
          <w:sz w:val="20"/>
        </w:rPr>
        <w:t>RCS — Reaction Control System.  Discrete attitude control and trajectory correction pulses distributed across both phases: 20 events during the far-range RDV phase and 24 during the inspection phase (44 total). RCS firings are present in both phases across both simulation runs.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E293B"/>
          </w:tcPr>
          <w:p>
            <w:pPr>
              <w:jc w:val="left"/>
            </w:pPr>
            <w:r>
              <w:rPr>
                <w:rFonts w:ascii="Calibri" w:hAnsi="Calibri"/>
                <w:b/>
                <w:color w:val="FFFFFF"/>
                <w:sz w:val="18"/>
              </w:rPr>
            </w:r>
          </w:p>
        </w:tc>
        <w:tc>
          <w:tcPr>
            <w:tcW w:type="dxa" w:w="3118"/>
            <w:shd w:val="clear" w:color="auto" w:fill="1E293B"/>
          </w:tcPr>
          <w:p>
            <w:pPr>
              <w:jc w:val="left"/>
            </w:pPr>
            <w:r>
              <w:rPr>
                <w:rFonts w:ascii="Calibri" w:hAnsi="Calibri"/>
                <w:b/>
                <w:color w:val="FFFFFF"/>
                <w:sz w:val="18"/>
              </w:rPr>
              <w:t>PPS (maneuver_type = 1)</w:t>
            </w:r>
          </w:p>
        </w:tc>
        <w:tc>
          <w:tcPr>
            <w:tcW w:type="dxa" w:w="3402"/>
            <w:shd w:val="clear" w:color="auto" w:fill="1E293B"/>
          </w:tcPr>
          <w:p>
            <w:pPr>
              <w:jc w:val="left"/>
            </w:pPr>
            <w:r>
              <w:rPr>
                <w:rFonts w:ascii="Calibri" w:hAnsi="Calibri"/>
                <w:b/>
                <w:color w:val="FFFFFF"/>
                <w:sz w:val="18"/>
              </w:rPr>
              <w:t>RCS (maneuver_type = 2)</w:t>
            </w:r>
          </w:p>
        </w:tc>
      </w:tr>
      <w:tr>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Mission phase</w:t>
            </w:r>
          </w:p>
        </w:tc>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RDV only</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RDV + INS</w:t>
            </w:r>
          </w:p>
        </w:tc>
      </w:tr>
      <w:tr>
        <w:tc>
          <w:tcPr>
            <w:tcW w:type="dxa" w:w="2551"/>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Events (both runs)</w:t>
            </w:r>
          </w:p>
        </w:tc>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80</w:t>
            </w:r>
          </w:p>
        </w:tc>
        <w:tc>
          <w:tcPr>
            <w:tcW w:type="dxa" w:w="34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44  (20 RDV + 24 INS)</w:t>
            </w:r>
          </w:p>
        </w:tc>
      </w:tr>
      <w:tr>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Channels — og3</w:t>
            </w:r>
          </w:p>
        </w:tc>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2  (firingTime_pps_1…2)</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8   (firingTime_rcs_T01…T08)</w:t>
            </w:r>
          </w:p>
        </w:tc>
      </w:tr>
      <w:tr>
        <w:tc>
          <w:tcPr>
            <w:tcW w:type="dxa" w:w="2551"/>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Channels — end1</w:t>
            </w:r>
          </w:p>
        </w:tc>
        <w:tc>
          <w:tcPr>
            <w:tcW w:type="dxa" w:w="3118"/>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3  (firingTime_pps_1…3)</w:t>
            </w:r>
          </w:p>
        </w:tc>
        <w:tc>
          <w:tcPr>
            <w:tcW w:type="dxa" w:w="3402"/>
            <w:shd w:val="clear" w:color="auto" w:fill="F1F5F9"/>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16  (firingTime_rcs_T01…T16)</w:t>
            </w:r>
          </w:p>
        </w:tc>
      </w:tr>
      <w:tr>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Zero-firing records</w:t>
            </w:r>
          </w:p>
        </w:tc>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1 event (PPS, null burst)</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334155"/>
                <w:sz w:val="18"/>
              </w:rPr>
              <w:t>6 events (null bursts)</w:t>
            </w:r>
          </w:p>
        </w:tc>
      </w:tr>
    </w:tbl>
    <w:p>
      <w:pPr>
        <w:spacing w:after="120" w:before="0"/>
        <w:ind w:left="283"/>
      </w:pPr>
      <w:r>
        <w:rPr>
          <w:rFonts w:ascii="Calibri Light" w:hAnsi="Calibri Light"/>
          <w:i/>
          <w:color w:val="64748B"/>
          <w:sz w:val="18"/>
        </w:rPr>
        <w:t>Note: a small number of recorded firing events carry all-zero firing durations (1 PPS event and 6 RCS events across both datasets). These are genuine entries in the simulation record — the epoch was logged but no thrust was executed. They are identifiable by maneuver_type ≠ 0 combined with all firingTime columns equal to 0.</w:t>
      </w:r>
    </w:p>
    <w:p>
      <w:pPr>
        <w:spacing w:before="280" w:after="80"/>
      </w:pPr>
      <w:r>
        <w:rPr>
          <w:rFonts w:ascii="Calibri" w:hAnsi="Calibri"/>
          <w:b/>
          <w:color w:val="1E293B"/>
          <w:sz w:val="26"/>
        </w:rPr>
        <w:t>5.  Timestamp Alignment</w:t>
      </w:r>
    </w:p>
    <w:p>
      <w:pPr>
        <w:spacing w:after="120" w:before="0"/>
      </w:pPr>
      <w:r>
        <w:rPr>
          <w:rFonts w:ascii="Calibri" w:hAnsi="Calibri"/>
          <w:i w:val="0"/>
          <w:color w:val="334155"/>
          <w:sz w:val="20"/>
        </w:rPr>
        <w:t>Firing event epochs are stored in the MATLAB simulation data packages as absolute seconds from the J2000 epoch (2000-01-01T12:00:00 UTC). These epochs do not fall exactly on the 300-second propagation grid. Each firing event has been matched to the nearest propagation timestep using a minimum time-difference criterion. The worst-case offset between the recorded firing epoch and the UTC_ISOC timestamp of its assigned row is 148.9 seconds — well within the 150-second half-step tolerance.</w:t>
      </w:r>
    </w:p>
    <w:p>
      <w:pPr>
        <w:spacing w:after="120" w:before="0"/>
      </w:pPr>
      <w:r>
        <w:rPr>
          <w:rFonts w:ascii="Calibri" w:hAnsi="Calibri"/>
          <w:i w:val="0"/>
          <w:color w:val="334155"/>
          <w:sz w:val="20"/>
        </w:rPr>
        <w:t>The manTime_hr column always preserves the exact firing epoch from the simulation record expressed as mission elapsed hours. It is therefore not derived from UTC_ISOC and will not be exactly consistent with it — this is expected and by design.</w:t>
      </w:r>
    </w:p>
    <w:p>
      <w:pPr>
        <w:spacing w:before="280" w:after="80"/>
      </w:pPr>
      <w:r>
        <w:rPr>
          <w:rFonts w:ascii="Calibri" w:hAnsi="Calibri"/>
          <w:b/>
          <w:color w:val="1E293B"/>
          <w:sz w:val="26"/>
        </w:rPr>
        <w:t>6.  Filtering and Usage</w:t>
      </w:r>
    </w:p>
    <w:p>
      <w:pPr>
        <w:spacing w:after="120" w:before="0"/>
      </w:pPr>
      <w:r>
        <w:rPr>
          <w:rFonts w:ascii="Calibri" w:hAnsi="Calibri"/>
          <w:i w:val="0"/>
          <w:color w:val="334155"/>
          <w:sz w:val="20"/>
        </w:rPr>
        <w:t>The maneuver_type column is the primary filter for separating the time-series and event subsets. The following Python example illustrates standard usage:</w:t>
      </w:r>
    </w:p>
    <w:p>
      <w:pPr>
        <w:spacing w:after="160" w:before="80"/>
        <w:ind w:left="283"/>
      </w:pPr>
      <w:r>
        <w:rPr>
          <w:rFonts w:ascii="Courier New" w:hAnsi="Courier New"/>
          <w:color w:val="1D4ED8"/>
          <w:sz w:val="17"/>
        </w:rPr>
        <w:t>import pandas as pd</w:t>
      </w:r>
    </w:p>
    <w:p>
      <w:pPr>
        <w:spacing w:after="160" w:before="80"/>
        <w:ind w:left="283"/>
      </w:pPr>
      <w:r>
        <w:rPr>
          <w:rFonts w:ascii="Courier New" w:hAnsi="Courier New"/>
          <w:color w:val="1D4ED8"/>
          <w:sz w:val="17"/>
        </w:rPr>
      </w:r>
    </w:p>
    <w:p>
      <w:pPr>
        <w:spacing w:after="160" w:before="80"/>
        <w:ind w:left="283"/>
      </w:pPr>
      <w:r>
        <w:rPr>
          <w:rFonts w:ascii="Courier New" w:hAnsi="Courier New"/>
          <w:color w:val="1D4ED8"/>
          <w:sz w:val="17"/>
        </w:rPr>
        <w:t>df = pd.read_csv('og3_target_SunOpt_nominal.csv')</w:t>
      </w:r>
    </w:p>
    <w:p>
      <w:pPr>
        <w:spacing w:after="160" w:before="80"/>
        <w:ind w:left="283"/>
      </w:pPr>
      <w:r>
        <w:rPr>
          <w:rFonts w:ascii="Courier New" w:hAnsi="Courier New"/>
          <w:color w:val="1D4ED8"/>
          <w:sz w:val="17"/>
        </w:rPr>
      </w:r>
    </w:p>
    <w:p>
      <w:pPr>
        <w:spacing w:after="160" w:before="80"/>
        <w:ind w:left="283"/>
      </w:pPr>
      <w:r>
        <w:rPr>
          <w:rFonts w:ascii="Courier New" w:hAnsi="Courier New"/>
          <w:color w:val="1D4ED8"/>
          <w:sz w:val="17"/>
        </w:rPr>
        <w:t># Continuous time-series (attitude, trajectory, pointing)</w:t>
      </w:r>
    </w:p>
    <w:p>
      <w:pPr>
        <w:spacing w:after="160" w:before="80"/>
        <w:ind w:left="283"/>
      </w:pPr>
      <w:r>
        <w:rPr>
          <w:rFonts w:ascii="Courier New" w:hAnsi="Courier New"/>
          <w:color w:val="1D4ED8"/>
          <w:sz w:val="17"/>
        </w:rPr>
        <w:t>ts   = df[df['maneuver_type'] == 0]   # 6,567 rows</w:t>
      </w:r>
    </w:p>
    <w:p>
      <w:pPr>
        <w:spacing w:after="160" w:before="80"/>
        <w:ind w:left="283"/>
      </w:pPr>
      <w:r>
        <w:rPr>
          <w:rFonts w:ascii="Courier New" w:hAnsi="Courier New"/>
          <w:color w:val="1D4ED8"/>
          <w:sz w:val="17"/>
        </w:rPr>
      </w:r>
    </w:p>
    <w:p>
      <w:pPr>
        <w:spacing w:after="160" w:before="80"/>
        <w:ind w:left="283"/>
      </w:pPr>
      <w:r>
        <w:rPr>
          <w:rFonts w:ascii="Courier New" w:hAnsi="Courier New"/>
          <w:color w:val="1D4ED8"/>
          <w:sz w:val="17"/>
        </w:rPr>
        <w:t># PPS firing events only</w:t>
      </w:r>
    </w:p>
    <w:p>
      <w:pPr>
        <w:spacing w:after="160" w:before="80"/>
        <w:ind w:left="283"/>
      </w:pPr>
      <w:r>
        <w:rPr>
          <w:rFonts w:ascii="Courier New" w:hAnsi="Courier New"/>
          <w:color w:val="1D4ED8"/>
          <w:sz w:val="17"/>
        </w:rPr>
        <w:t>pps  = df[df['maneuver_type'] == 1]   # 80 rows</w:t>
      </w:r>
    </w:p>
    <w:p>
      <w:pPr>
        <w:spacing w:after="160" w:before="80"/>
        <w:ind w:left="283"/>
      </w:pPr>
      <w:r>
        <w:rPr>
          <w:rFonts w:ascii="Courier New" w:hAnsi="Courier New"/>
          <w:color w:val="1D4ED8"/>
          <w:sz w:val="17"/>
        </w:rPr>
      </w:r>
    </w:p>
    <w:p>
      <w:pPr>
        <w:spacing w:after="160" w:before="80"/>
        <w:ind w:left="283"/>
      </w:pPr>
      <w:r>
        <w:rPr>
          <w:rFonts w:ascii="Courier New" w:hAnsi="Courier New"/>
          <w:color w:val="1D4ED8"/>
          <w:sz w:val="17"/>
        </w:rPr>
        <w:t># RCS firing events only</w:t>
      </w:r>
    </w:p>
    <w:p>
      <w:pPr>
        <w:spacing w:after="160" w:before="80"/>
        <w:ind w:left="283"/>
      </w:pPr>
      <w:r>
        <w:rPr>
          <w:rFonts w:ascii="Courier New" w:hAnsi="Courier New"/>
          <w:color w:val="1D4ED8"/>
          <w:sz w:val="17"/>
        </w:rPr>
        <w:t>rcs  = df[df['maneuver_type'] == 2]   # 44 rows</w:t>
      </w:r>
    </w:p>
    <w:p>
      <w:pPr>
        <w:spacing w:after="160" w:before="80"/>
        <w:ind w:left="283"/>
      </w:pPr>
      <w:r>
        <w:rPr>
          <w:rFonts w:ascii="Courier New" w:hAnsi="Courier New"/>
          <w:color w:val="1D4ED8"/>
          <w:sz w:val="17"/>
        </w:rPr>
      </w:r>
    </w:p>
    <w:p>
      <w:pPr>
        <w:spacing w:after="160" w:before="80"/>
        <w:ind w:left="283"/>
      </w:pPr>
      <w:r>
        <w:rPr>
          <w:rFonts w:ascii="Courier New" w:hAnsi="Courier New"/>
          <w:color w:val="1D4ED8"/>
          <w:sz w:val="17"/>
        </w:rPr>
        <w:t># Phase boundary (RDV → INS)</w:t>
      </w:r>
    </w:p>
    <w:p>
      <w:pPr>
        <w:spacing w:after="160" w:before="80"/>
        <w:ind w:left="283"/>
      </w:pPr>
      <w:r>
        <w:rPr>
          <w:rFonts w:ascii="Courier New" w:hAnsi="Courier New"/>
          <w:color w:val="1D4ED8"/>
          <w:sz w:val="17"/>
        </w:rPr>
        <w:t>ins_start = df[df['a_dlambda_m'] &gt; -5000].index[0]</w:t>
      </w:r>
    </w:p>
    <w:p>
      <w:pPr>
        <w:spacing w:after="120" w:before="0"/>
      </w:pPr>
      <w:r>
        <w:rPr>
          <w:rFonts w:ascii="Calibri" w:hAnsi="Calibri"/>
          <w:i w:val="0"/>
          <w:color w:val="334155"/>
          <w:sz w:val="20"/>
        </w:rPr>
        <w:t>All firing columns are numeric (float64). No NaN values are present anywhere in the file. Empty cells do not exist — every cell is either a real value or zero.</w:t>
      </w:r>
    </w:p>
    <w:p>
      <w:pPr>
        <w:spacing w:before="280" w:after="80"/>
      </w:pPr>
      <w:r>
        <w:rPr>
          <w:rFonts w:ascii="Calibri" w:hAnsi="Calibri"/>
          <w:b/>
          <w:color w:val="1E293B"/>
          <w:sz w:val="26"/>
        </w:rPr>
        <w:t>7.  What Is Not Included</w:t>
      </w:r>
    </w:p>
    <w:p>
      <w:pPr>
        <w:spacing w:after="120" w:before="0"/>
      </w:pPr>
      <w:r>
        <w:rPr>
          <w:rFonts w:ascii="Calibri" w:hAnsi="Calibri"/>
          <w:i w:val="0"/>
          <w:color w:val="334155"/>
          <w:sz w:val="20"/>
        </w:rPr>
        <w:t>These files contain the simulation state history and propulsion event record only. Post-processed analysis outputs — angular separation between Earth and target, eigenaxis slew angles, thermal constraint metrics (camera sun exclusion, star tracker blinding), and antenna feasibility assessments — are not embedded in the CSV. They are produced separately by the Python analysis suite and are available as figures and printed summaries on request.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