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276" w:after="0" w:before="0"/>
      </w:pPr>
      <w:r>
        <w:rPr>
          <w:rFonts w:ascii="Aptos" w:cs="Aptos" w:eastAsia="Aptos" w:hAnsi="Aptos"/>
          <w:b w:val="false"/>
          <w:bCs w:val="false"/>
          <w:i w:val="false"/>
          <w:iCs w:val="false"/>
          <w:color w:val="000000"/>
          <w:sz w:val="24"/>
          <w:szCs w:val="24"/>
        </w:rPr>
        <w:t xml:space="preserve"/>
      </w:r>
    </w:p>
    <w:p>
      <w:pPr>
        <w:spacing w:line="276" w:after="0" w:before="0"/>
      </w:pPr>
      <w:r>
        <w:rPr>
          <w:rFonts w:ascii="Aptos" w:cs="Aptos" w:eastAsia="Aptos" w:hAnsi="Aptos"/>
          <w:b w:val="false"/>
          <w:bCs w:val="false"/>
          <w:i w:val="false"/>
          <w:iCs w:val="false"/>
          <w:color w:val="000000"/>
          <w:sz w:val="24"/>
          <w:szCs w:val="24"/>
        </w:rPr>
        <w:t xml:space="preserve"/>
      </w:r>
    </w:p>
    <w:p>
      <w:pPr>
        <w:spacing w:line="276" w:after="0" w:before="0"/>
      </w:pPr>
      <w:r>
        <w:rPr>
          <w:rFonts w:ascii="Aptos" w:cs="Aptos" w:eastAsia="Aptos" w:hAnsi="Aptos"/>
          <w:b w:val="false"/>
          <w:bCs w:val="false"/>
          <w:i w:val="false"/>
          <w:iCs w:val="false"/>
          <w:color w:val="000000"/>
          <w:sz w:val="24"/>
          <w:szCs w:val="24"/>
        </w:rPr>
        <w:t xml:space="preserve"/>
      </w:r>
    </w:p>
    <w:p>
      <w:pPr>
        <w:spacing w:line="276" w:after="120"/>
        <w:jc w:val="center"/>
      </w:pPr>
      <w:r>
        <w:rPr>
          <w:rFonts w:ascii="Aptos" w:cs="Aptos" w:eastAsia="Aptos" w:hAnsi="Aptos"/>
          <w:b/>
          <w:bCs/>
          <w:color w:val="1F3864"/>
          <w:sz w:val="32"/>
          <w:szCs w:val="32"/>
        </w:rPr>
        <w:t xml:space="preserve">SAĞLIKTA YAPAY ZEKA YARIŞMASI</w:t>
      </w:r>
    </w:p>
    <w:p>
      <w:pPr>
        <w:spacing w:line="276" w:after="120"/>
        <w:jc w:val="center"/>
      </w:pPr>
      <w:r>
        <w:rPr>
          <w:rFonts w:ascii="Aptos" w:cs="Aptos" w:eastAsia="Aptos" w:hAnsi="Aptos"/>
          <w:b/>
          <w:bCs/>
          <w:color w:val="1F3864"/>
          <w:sz w:val="32"/>
          <w:szCs w:val="32"/>
        </w:rPr>
        <w:t xml:space="preserve">PROJE SUNUŞ RAPORU</w:t>
      </w:r>
    </w:p>
    <w:p>
      <w:pPr>
        <w:spacing w:line="276" w:after="0" w:before="0"/>
      </w:pPr>
      <w:r>
        <w:rPr>
          <w:rFonts w:ascii="Aptos" w:cs="Aptos" w:eastAsia="Aptos" w:hAnsi="Aptos"/>
          <w:b w:val="false"/>
          <w:bCs w:val="false"/>
          <w:i w:val="false"/>
          <w:iCs w:val="false"/>
          <w:color w:val="000000"/>
          <w:sz w:val="24"/>
          <w:szCs w:val="24"/>
        </w:rPr>
        <w:t xml:space="preserve"/>
      </w:r>
    </w:p>
    <w:p>
      <w:pPr>
        <w:spacing w:line="276" w:after="80"/>
        <w:jc w:val="center"/>
      </w:pPr>
      <w:r>
        <w:rPr>
          <w:rFonts w:ascii="Aptos" w:cs="Aptos" w:eastAsia="Aptos" w:hAnsi="Aptos"/>
          <w:b/>
          <w:bCs/>
          <w:sz w:val="28"/>
          <w:szCs w:val="28"/>
        </w:rPr>
        <w:t xml:space="preserve">GÖREV: Missense Genetik Varyantların Patojenik / Benign Olarak Sınıflandırılması</w:t>
      </w:r>
    </w:p>
    <w:p>
      <w:pPr>
        <w:spacing w:line="276" w:after="80"/>
        <w:jc w:val="center"/>
      </w:pPr>
      <w:r>
        <w:rPr>
          <w:rFonts w:ascii="Aptos" w:cs="Aptos" w:eastAsia="Aptos" w:hAnsi="Aptos"/>
          <w:sz w:val="24"/>
          <w:szCs w:val="24"/>
        </w:rPr>
        <w:t xml:space="preserve">Yarışma Eğitim Seviyesi: Üniversite ve Üzeri</w:t>
      </w:r>
    </w:p>
    <w:p>
      <w:pPr>
        <w:spacing w:line="276" w:after="0" w:before="0"/>
      </w:pPr>
      <w:r>
        <w:rPr>
          <w:rFonts w:ascii="Aptos" w:cs="Aptos" w:eastAsia="Aptos" w:hAnsi="Aptos"/>
          <w:b w:val="false"/>
          <w:bCs w:val="false"/>
          <w:i w:val="false"/>
          <w:iCs w:val="false"/>
          <w:color w:val="000000"/>
          <w:sz w:val="24"/>
          <w:szCs w:val="24"/>
        </w:rPr>
        <w:t xml:space="preserve"/>
      </w:r>
    </w:p>
    <w:p>
      <w:pPr>
        <w:spacing w:line="276" w:after="0" w:before="0"/>
      </w:pPr>
      <w:r>
        <w:rPr>
          <w:rFonts w:ascii="Aptos" w:cs="Aptos" w:eastAsia="Aptos" w:hAnsi="Aptos"/>
          <w:b w:val="false"/>
          <w:bCs w:val="false"/>
          <w:i w:val="false"/>
          <w:iCs w:val="false"/>
          <w:color w:val="000000"/>
          <w:sz w:val="24"/>
          <w:szCs w:val="24"/>
        </w:rP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00"/>
        <w:gridCol w:w="6570"/>
      </w:tblGrid>
      <w:tr>
        <w:tc>
          <w:tcPr>
            <w:tcW w:type="dxa" w:w="2500"/>
            <w:tcBorders>
              <w:top w:val="single" w:color="AAAAAA" w:sz="1"/>
              <w:left w:val="single" w:color="AAAAAA" w:sz="1"/>
              <w:bottom w:val="single" w:color="AAAAAA" w:sz="1"/>
              <w:right w:val="single" w:color="AAAAAA" w:sz="1"/>
            </w:tcBorders>
            <w:shd w:fill="E2EEF9" w:val="clear"/>
            <w:tcMar>
              <w:top w:type="dxa" w:w="80"/>
              <w:left w:type="dxa" w:w="120"/>
              <w:bottom w:type="dxa" w:w="80"/>
              <w:right w:type="dxa" w:w="120"/>
            </w:tcMar>
            <w:vAlign w:val="center"/>
          </w:tcPr>
          <w:p>
            <w:pPr>
              <w:spacing w:line="276" w:after="0"/>
              <w:jc w:val="center"/>
            </w:pPr>
            <w:r>
              <w:rPr>
                <w:rFonts w:ascii="Aptos" w:cs="Aptos" w:eastAsia="Aptos" w:hAnsi="Aptos"/>
                <w:b/>
                <w:bCs/>
                <w:color w:val="000000"/>
                <w:sz w:val="22"/>
                <w:szCs w:val="22"/>
              </w:rPr>
              <w:t xml:space="preserve">Alan</w:t>
            </w:r>
          </w:p>
        </w:tc>
        <w:tc>
          <w:tcPr>
            <w:tcW w:type="dxa" w:w="6570"/>
            <w:tcBorders>
              <w:top w:val="single" w:color="AAAAAA" w:sz="1"/>
              <w:left w:val="single" w:color="AAAAAA" w:sz="1"/>
              <w:bottom w:val="single" w:color="AAAAAA" w:sz="1"/>
              <w:right w:val="single" w:color="AAAAAA" w:sz="1"/>
            </w:tcBorders>
            <w:shd w:fill="E2EEF9" w:val="clear"/>
            <w:tcMar>
              <w:top w:type="dxa" w:w="80"/>
              <w:left w:type="dxa" w:w="120"/>
              <w:bottom w:type="dxa" w:w="80"/>
              <w:right w:type="dxa" w:w="120"/>
            </w:tcMar>
            <w:vAlign w:val="center"/>
          </w:tcPr>
          <w:p>
            <w:pPr>
              <w:spacing w:line="276" w:after="0"/>
              <w:jc w:val="center"/>
            </w:pPr>
            <w:r>
              <w:rPr>
                <w:rFonts w:ascii="Aptos" w:cs="Aptos" w:eastAsia="Aptos" w:hAnsi="Aptos"/>
                <w:b/>
                <w:bCs/>
                <w:color w:val="000000"/>
                <w:sz w:val="22"/>
                <w:szCs w:val="22"/>
              </w:rPr>
              <w:t xml:space="preserve">Bilgi</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76" w:after="0"/>
              <w:jc w:val="center"/>
            </w:pPr>
            <w:r>
              <w:rPr>
                <w:rFonts w:ascii="Aptos" w:cs="Aptos" w:eastAsia="Aptos" w:hAnsi="Aptos"/>
                <w:b w:val="false"/>
                <w:bCs w:val="false"/>
                <w:color w:val="000000"/>
                <w:sz w:val="22"/>
                <w:szCs w:val="22"/>
              </w:rPr>
              <w:t xml:space="preserve">Proje Adı</w:t>
            </w:r>
          </w:p>
        </w:tc>
        <w:tc>
          <w:tcPr>
            <w:tcW w:type="dxa" w:w="657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76" w:after="0"/>
              <w:jc w:val="center"/>
            </w:pPr>
            <w:r>
              <w:rPr>
                <w:rFonts w:ascii="Aptos" w:cs="Aptos" w:eastAsia="Aptos" w:hAnsi="Aptos"/>
                <w:b w:val="false"/>
                <w:bCs w:val="false"/>
                <w:color w:val="000000"/>
                <w:sz w:val="22"/>
                <w:szCs w:val="22"/>
              </w:rPr>
              <w:t xml:space="preserve">Hybrid MoE V2 ile Missense Varyant Patojenite Sınıflandırması</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76" w:after="0"/>
              <w:jc w:val="center"/>
            </w:pPr>
            <w:r>
              <w:rPr>
                <w:rFonts w:ascii="Aptos" w:cs="Aptos" w:eastAsia="Aptos" w:hAnsi="Aptos"/>
                <w:b w:val="false"/>
                <w:bCs w:val="false"/>
                <w:color w:val="000000"/>
                <w:sz w:val="22"/>
                <w:szCs w:val="22"/>
              </w:rPr>
              <w:t xml:space="preserve">Takım Adı</w:t>
            </w:r>
          </w:p>
        </w:tc>
        <w:tc>
          <w:tcPr>
            <w:tcW w:type="dxa" w:w="657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76" w:after="0"/>
              <w:jc w:val="center"/>
            </w:pPr>
            <w:r>
              <w:rPr>
                <w:rFonts w:ascii="Aptos" w:cs="Aptos" w:eastAsia="Aptos" w:hAnsi="Aptos"/>
                <w:b w:val="false"/>
                <w:bCs w:val="false"/>
                <w:color w:val="000000"/>
                <w:sz w:val="22"/>
                <w:szCs w:val="22"/>
              </w:rPr>
              <w:t xml:space="preserve"/>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76" w:after="0"/>
              <w:jc w:val="center"/>
            </w:pPr>
            <w:r>
              <w:rPr>
                <w:rFonts w:ascii="Aptos" w:cs="Aptos" w:eastAsia="Aptos" w:hAnsi="Aptos"/>
                <w:b w:val="false"/>
                <w:bCs w:val="false"/>
                <w:color w:val="000000"/>
                <w:sz w:val="22"/>
                <w:szCs w:val="22"/>
              </w:rPr>
              <w:t xml:space="preserve">Takım ID</w:t>
            </w:r>
          </w:p>
        </w:tc>
        <w:tc>
          <w:tcPr>
            <w:tcW w:type="dxa" w:w="657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76" w:after="0"/>
              <w:jc w:val="center"/>
            </w:pPr>
            <w:r>
              <w:rPr>
                <w:rFonts w:ascii="Aptos" w:cs="Aptos" w:eastAsia="Aptos" w:hAnsi="Aptos"/>
                <w:b w:val="false"/>
                <w:bCs w:val="false"/>
                <w:color w:val="000000"/>
                <w:sz w:val="22"/>
                <w:szCs w:val="22"/>
              </w:rPr>
              <w:t xml:space="preserve"/>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76" w:after="0"/>
              <w:jc w:val="center"/>
            </w:pPr>
            <w:r>
              <w:rPr>
                <w:rFonts w:ascii="Aptos" w:cs="Aptos" w:eastAsia="Aptos" w:hAnsi="Aptos"/>
                <w:b w:val="false"/>
                <w:bCs w:val="false"/>
                <w:color w:val="000000"/>
                <w:sz w:val="22"/>
                <w:szCs w:val="22"/>
              </w:rPr>
              <w:t xml:space="preserve">Başvuru ID</w:t>
            </w:r>
          </w:p>
        </w:tc>
        <w:tc>
          <w:tcPr>
            <w:tcW w:type="dxa" w:w="657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76" w:after="0"/>
              <w:jc w:val="center"/>
            </w:pPr>
            <w:r>
              <w:rPr>
                <w:rFonts w:ascii="Aptos" w:cs="Aptos" w:eastAsia="Aptos" w:hAnsi="Aptos"/>
                <w:b w:val="false"/>
                <w:bCs w:val="false"/>
                <w:color w:val="000000"/>
                <w:sz w:val="22"/>
                <w:szCs w:val="22"/>
              </w:rPr>
              <w:t xml:space="preserve"/>
            </w:r>
          </w:p>
        </w:tc>
      </w:tr>
    </w:tbl>
    <w:p>
      <w:pPr>
        <w:spacing w:line="276" w:after="0" w:before="0"/>
      </w:pPr>
      <w:r>
        <w:rPr>
          <w:rFonts w:ascii="Aptos" w:cs="Aptos" w:eastAsia="Aptos" w:hAnsi="Aptos"/>
          <w:b w:val="false"/>
          <w:bCs w:val="false"/>
          <w:i w:val="false"/>
          <w:iCs w:val="false"/>
          <w:color w:val="000000"/>
          <w:sz w:val="24"/>
          <w:szCs w:val="24"/>
        </w:rPr>
        <w:t xml:space="preserve"/>
      </w:r>
    </w:p>
    <w:p>
      <w:r>
        <w:br w:type="page"/>
      </w:r>
    </w:p>
    <w:p>
      <w:pPr>
        <w:spacing w:line="276" w:after="200"/>
        <w:jc w:val="center"/>
      </w:pPr>
      <w:r>
        <w:rPr>
          <w:rFonts w:ascii="Aptos" w:cs="Aptos" w:eastAsia="Aptos" w:hAnsi="Aptos"/>
          <w:b/>
          <w:bCs/>
          <w:sz w:val="28"/>
          <w:szCs w:val="28"/>
        </w:rPr>
        <w:t xml:space="preserve">İÇİNDEKİLER</w:t>
      </w:r>
    </w:p>
    <w:p>
      <w:pPr>
        <w:tabs>
          <w:tab w:val="right" w:pos="8870"/>
        </w:tabs>
        <w:spacing w:line="276" w:after="60"/>
        <w:jc w:val="both"/>
      </w:pPr>
      <w:r>
        <w:rPr>
          <w:rFonts w:ascii="Aptos" w:cs="Aptos" w:eastAsia="Aptos" w:hAnsi="Aptos"/>
          <w:b w:val="false"/>
          <w:bCs w:val="false"/>
          <w:i w:val="false"/>
          <w:iCs w:val="false"/>
          <w:color w:val="000000"/>
          <w:sz w:val="24"/>
          <w:szCs w:val="24"/>
        </w:rPr>
        <w:t xml:space="preserve">1.  Takım Şeması</w:t>
      </w:r>
      <w:r>
        <w:rPr>
          <w:rFonts w:ascii="Aptos" w:cs="Aptos" w:eastAsia="Aptos" w:hAnsi="Aptos"/>
          <w:sz w:val="24"/>
          <w:szCs w:val="24"/>
        </w:rPr>
        <w:t xml:space="preserve">	3</w:t>
      </w:r>
    </w:p>
    <w:p>
      <w:pPr>
        <w:tabs>
          <w:tab w:val="right" w:pos="8870"/>
        </w:tabs>
        <w:spacing w:line="276" w:after="60"/>
        <w:jc w:val="both"/>
      </w:pPr>
      <w:r>
        <w:rPr>
          <w:rFonts w:ascii="Aptos" w:cs="Aptos" w:eastAsia="Aptos" w:hAnsi="Aptos"/>
          <w:b w:val="false"/>
          <w:bCs w:val="false"/>
          <w:i w:val="false"/>
          <w:iCs w:val="false"/>
          <w:color w:val="000000"/>
          <w:sz w:val="24"/>
          <w:szCs w:val="24"/>
        </w:rPr>
        <w:t xml:space="preserve">2.  Probleme En Yakın Çözüm Sunan Uluslararası Makalelerin Özeti (10 Puan)</w:t>
      </w:r>
      <w:r>
        <w:rPr>
          <w:rFonts w:ascii="Aptos" w:cs="Aptos" w:eastAsia="Aptos" w:hAnsi="Aptos"/>
          <w:sz w:val="24"/>
          <w:szCs w:val="24"/>
        </w:rPr>
        <w:t xml:space="preserve">	3</w:t>
      </w:r>
    </w:p>
    <w:p>
      <w:pPr>
        <w:tabs>
          <w:tab w:val="right" w:pos="8870"/>
        </w:tabs>
        <w:spacing w:line="276" w:after="60"/>
        <w:jc w:val="both"/>
      </w:pPr>
      <w:r>
        <w:rPr>
          <w:rFonts w:ascii="Aptos" w:cs="Aptos" w:eastAsia="Aptos" w:hAnsi="Aptos"/>
          <w:b w:val="false"/>
          <w:bCs w:val="false"/>
          <w:i w:val="false"/>
          <w:iCs w:val="false"/>
          <w:color w:val="000000"/>
          <w:sz w:val="24"/>
          <w:szCs w:val="24"/>
        </w:rPr>
        <w:t xml:space="preserve">3.  Veri ve Yöntem (30 Puan)</w:t>
      </w:r>
      <w:r>
        <w:rPr>
          <w:rFonts w:ascii="Aptos" w:cs="Aptos" w:eastAsia="Aptos" w:hAnsi="Aptos"/>
          <w:sz w:val="24"/>
          <w:szCs w:val="24"/>
        </w:rPr>
        <w:t xml:space="preserve">	5</w:t>
      </w:r>
    </w:p>
    <w:p>
      <w:pPr>
        <w:tabs>
          <w:tab w:val="right" w:pos="8870"/>
        </w:tabs>
        <w:spacing w:line="276" w:after="60"/>
        <w:jc w:val="both"/>
      </w:pPr>
      <w:r>
        <w:rPr>
          <w:rFonts w:ascii="Aptos" w:cs="Aptos" w:eastAsia="Aptos" w:hAnsi="Aptos"/>
          <w:b w:val="false"/>
          <w:bCs w:val="false"/>
          <w:i w:val="false"/>
          <w:iCs w:val="false"/>
          <w:color w:val="000000"/>
          <w:sz w:val="24"/>
          <w:szCs w:val="24"/>
        </w:rPr>
        <w:t xml:space="preserve">  3.1  Kullanılan Veri Seti ve Etiketler</w:t>
      </w:r>
      <w:r>
        <w:rPr>
          <w:rFonts w:ascii="Aptos" w:cs="Aptos" w:eastAsia="Aptos" w:hAnsi="Aptos"/>
          <w:sz w:val="24"/>
          <w:szCs w:val="24"/>
        </w:rPr>
        <w:t xml:space="preserve">	5</w:t>
      </w:r>
    </w:p>
    <w:p>
      <w:pPr>
        <w:tabs>
          <w:tab w:val="right" w:pos="8870"/>
        </w:tabs>
        <w:spacing w:line="276" w:after="60"/>
        <w:jc w:val="both"/>
      </w:pPr>
      <w:r>
        <w:rPr>
          <w:rFonts w:ascii="Aptos" w:cs="Aptos" w:eastAsia="Aptos" w:hAnsi="Aptos"/>
          <w:b w:val="false"/>
          <w:bCs w:val="false"/>
          <w:i w:val="false"/>
          <w:iCs w:val="false"/>
          <w:color w:val="000000"/>
          <w:sz w:val="24"/>
          <w:szCs w:val="24"/>
        </w:rPr>
        <w:t xml:space="preserve">  3.2  Veri Kısıtları ve Etikete Doğrudan Erişimi Engelleme</w:t>
      </w:r>
      <w:r>
        <w:rPr>
          <w:rFonts w:ascii="Aptos" w:cs="Aptos" w:eastAsia="Aptos" w:hAnsi="Aptos"/>
          <w:sz w:val="24"/>
          <w:szCs w:val="24"/>
        </w:rPr>
        <w:t xml:space="preserve">	5</w:t>
      </w:r>
    </w:p>
    <w:p>
      <w:pPr>
        <w:tabs>
          <w:tab w:val="right" w:pos="8870"/>
        </w:tabs>
        <w:spacing w:line="276" w:after="60"/>
        <w:jc w:val="both"/>
      </w:pPr>
      <w:r>
        <w:rPr>
          <w:rFonts w:ascii="Aptos" w:cs="Aptos" w:eastAsia="Aptos" w:hAnsi="Aptos"/>
          <w:b w:val="false"/>
          <w:bCs w:val="false"/>
          <w:i w:val="false"/>
          <w:iCs w:val="false"/>
          <w:color w:val="000000"/>
          <w:sz w:val="24"/>
          <w:szCs w:val="24"/>
        </w:rPr>
        <w:t xml:space="preserve">  3.3  Veri Ön İşleme ve Temsilleme Stratejisi</w:t>
      </w:r>
      <w:r>
        <w:rPr>
          <w:rFonts w:ascii="Aptos" w:cs="Aptos" w:eastAsia="Aptos" w:hAnsi="Aptos"/>
          <w:sz w:val="24"/>
          <w:szCs w:val="24"/>
        </w:rPr>
        <w:t xml:space="preserve">	6</w:t>
      </w:r>
    </w:p>
    <w:p>
      <w:pPr>
        <w:tabs>
          <w:tab w:val="right" w:pos="8870"/>
        </w:tabs>
        <w:spacing w:line="276" w:after="60"/>
        <w:jc w:val="both"/>
      </w:pPr>
      <w:r>
        <w:rPr>
          <w:rFonts w:ascii="Aptos" w:cs="Aptos" w:eastAsia="Aptos" w:hAnsi="Aptos"/>
          <w:b w:val="false"/>
          <w:bCs w:val="false"/>
          <w:i w:val="false"/>
          <w:iCs w:val="false"/>
          <w:color w:val="000000"/>
          <w:sz w:val="24"/>
          <w:szCs w:val="24"/>
        </w:rPr>
        <w:t xml:space="preserve">  3.4  Etiket Güvenilirliği ve Veri Kalitesi Kontrolü</w:t>
      </w:r>
      <w:r>
        <w:rPr>
          <w:rFonts w:ascii="Aptos" w:cs="Aptos" w:eastAsia="Aptos" w:hAnsi="Aptos"/>
          <w:sz w:val="24"/>
          <w:szCs w:val="24"/>
        </w:rPr>
        <w:t xml:space="preserve">	6</w:t>
      </w:r>
    </w:p>
    <w:p>
      <w:pPr>
        <w:tabs>
          <w:tab w:val="right" w:pos="8870"/>
        </w:tabs>
        <w:spacing w:line="276" w:after="60"/>
        <w:jc w:val="both"/>
      </w:pPr>
      <w:r>
        <w:rPr>
          <w:rFonts w:ascii="Aptos" w:cs="Aptos" w:eastAsia="Aptos" w:hAnsi="Aptos"/>
          <w:b w:val="false"/>
          <w:bCs w:val="false"/>
          <w:i w:val="false"/>
          <w:iCs w:val="false"/>
          <w:color w:val="000000"/>
          <w:sz w:val="24"/>
          <w:szCs w:val="24"/>
        </w:rPr>
        <w:t xml:space="preserve">  3.5  Sınıf Dengesi ve Risk Perspektifi</w:t>
      </w:r>
      <w:r>
        <w:rPr>
          <w:rFonts w:ascii="Aptos" w:cs="Aptos" w:eastAsia="Aptos" w:hAnsi="Aptos"/>
          <w:sz w:val="24"/>
          <w:szCs w:val="24"/>
        </w:rPr>
        <w:t xml:space="preserve">	6</w:t>
      </w:r>
    </w:p>
    <w:p>
      <w:pPr>
        <w:tabs>
          <w:tab w:val="right" w:pos="8870"/>
        </w:tabs>
        <w:spacing w:line="276" w:after="60"/>
        <w:jc w:val="both"/>
      </w:pPr>
      <w:r>
        <w:rPr>
          <w:rFonts w:ascii="Aptos" w:cs="Aptos" w:eastAsia="Aptos" w:hAnsi="Aptos"/>
          <w:b w:val="false"/>
          <w:bCs w:val="false"/>
          <w:i w:val="false"/>
          <w:iCs w:val="false"/>
          <w:color w:val="000000"/>
          <w:sz w:val="24"/>
          <w:szCs w:val="24"/>
        </w:rPr>
        <w:t xml:space="preserve">  3.6  Seçilen Algoritmalar ve Gerekçe</w:t>
      </w:r>
      <w:r>
        <w:rPr>
          <w:rFonts w:ascii="Aptos" w:cs="Aptos" w:eastAsia="Aptos" w:hAnsi="Aptos"/>
          <w:sz w:val="24"/>
          <w:szCs w:val="24"/>
        </w:rPr>
        <w:t xml:space="preserve">	7</w:t>
      </w:r>
    </w:p>
    <w:p>
      <w:pPr>
        <w:tabs>
          <w:tab w:val="right" w:pos="8870"/>
        </w:tabs>
        <w:spacing w:line="276" w:after="60"/>
        <w:jc w:val="both"/>
      </w:pPr>
      <w:r>
        <w:rPr>
          <w:rFonts w:ascii="Aptos" w:cs="Aptos" w:eastAsia="Aptos" w:hAnsi="Aptos"/>
          <w:b w:val="false"/>
          <w:bCs w:val="false"/>
          <w:i w:val="false"/>
          <w:iCs w:val="false"/>
          <w:color w:val="000000"/>
          <w:sz w:val="24"/>
          <w:szCs w:val="24"/>
        </w:rPr>
        <w:t xml:space="preserve">4.  Deney Tasarımı, Sonuçlar ve İnceleme (25 Puan)</w:t>
      </w:r>
      <w:r>
        <w:rPr>
          <w:rFonts w:ascii="Aptos" w:cs="Aptos" w:eastAsia="Aptos" w:hAnsi="Aptos"/>
          <w:sz w:val="24"/>
          <w:szCs w:val="24"/>
        </w:rPr>
        <w:t xml:space="preserve">	7</w:t>
      </w:r>
    </w:p>
    <w:p>
      <w:pPr>
        <w:tabs>
          <w:tab w:val="right" w:pos="8870"/>
        </w:tabs>
        <w:spacing w:line="276" w:after="60"/>
        <w:jc w:val="both"/>
      </w:pPr>
      <w:r>
        <w:rPr>
          <w:rFonts w:ascii="Aptos" w:cs="Aptos" w:eastAsia="Aptos" w:hAnsi="Aptos"/>
          <w:b w:val="false"/>
          <w:bCs w:val="false"/>
          <w:i w:val="false"/>
          <w:iCs w:val="false"/>
          <w:color w:val="000000"/>
          <w:sz w:val="24"/>
          <w:szCs w:val="24"/>
        </w:rPr>
        <w:t xml:space="preserve">  4.1  Deney Protokolü ve Veri Bölme</w:t>
      </w:r>
      <w:r>
        <w:rPr>
          <w:rFonts w:ascii="Aptos" w:cs="Aptos" w:eastAsia="Aptos" w:hAnsi="Aptos"/>
          <w:sz w:val="24"/>
          <w:szCs w:val="24"/>
        </w:rPr>
        <w:t xml:space="preserve">	7</w:t>
      </w:r>
    </w:p>
    <w:p>
      <w:pPr>
        <w:tabs>
          <w:tab w:val="right" w:pos="8870"/>
        </w:tabs>
        <w:spacing w:line="276" w:after="60"/>
        <w:jc w:val="both"/>
      </w:pPr>
      <w:r>
        <w:rPr>
          <w:rFonts w:ascii="Aptos" w:cs="Aptos" w:eastAsia="Aptos" w:hAnsi="Aptos"/>
          <w:b w:val="false"/>
          <w:bCs w:val="false"/>
          <w:i w:val="false"/>
          <w:iCs w:val="false"/>
          <w:color w:val="000000"/>
          <w:sz w:val="24"/>
          <w:szCs w:val="24"/>
        </w:rPr>
        <w:t xml:space="preserve">  4.2  Performans Metrikleri ve Panel Bazlı Raporlama</w:t>
      </w:r>
      <w:r>
        <w:rPr>
          <w:rFonts w:ascii="Aptos" w:cs="Aptos" w:eastAsia="Aptos" w:hAnsi="Aptos"/>
          <w:sz w:val="24"/>
          <w:szCs w:val="24"/>
        </w:rPr>
        <w:t xml:space="preserve">	8</w:t>
      </w:r>
    </w:p>
    <w:p>
      <w:pPr>
        <w:tabs>
          <w:tab w:val="right" w:pos="8870"/>
        </w:tabs>
        <w:spacing w:line="276" w:after="60"/>
        <w:jc w:val="both"/>
      </w:pPr>
      <w:r>
        <w:rPr>
          <w:rFonts w:ascii="Aptos" w:cs="Aptos" w:eastAsia="Aptos" w:hAnsi="Aptos"/>
          <w:b w:val="false"/>
          <w:bCs w:val="false"/>
          <w:i w:val="false"/>
          <w:iCs w:val="false"/>
          <w:color w:val="000000"/>
          <w:sz w:val="24"/>
          <w:szCs w:val="24"/>
        </w:rPr>
        <w:t xml:space="preserve">  4.3  Hata Analizi ve Model Davranışı</w:t>
      </w:r>
      <w:r>
        <w:rPr>
          <w:rFonts w:ascii="Aptos" w:cs="Aptos" w:eastAsia="Aptos" w:hAnsi="Aptos"/>
          <w:sz w:val="24"/>
          <w:szCs w:val="24"/>
        </w:rPr>
        <w:t xml:space="preserve">	8</w:t>
      </w:r>
    </w:p>
    <w:p>
      <w:pPr>
        <w:tabs>
          <w:tab w:val="right" w:pos="8870"/>
        </w:tabs>
        <w:spacing w:line="276" w:after="60"/>
        <w:jc w:val="both"/>
      </w:pPr>
      <w:r>
        <w:rPr>
          <w:rFonts w:ascii="Aptos" w:cs="Aptos" w:eastAsia="Aptos" w:hAnsi="Aptos"/>
          <w:b w:val="false"/>
          <w:bCs w:val="false"/>
          <w:i w:val="false"/>
          <w:iCs w:val="false"/>
          <w:color w:val="000000"/>
          <w:sz w:val="24"/>
          <w:szCs w:val="24"/>
        </w:rPr>
        <w:t xml:space="preserve">  4.4  Model Açıklanabilirliği – SHAP Yaklaşımı</w:t>
      </w:r>
      <w:r>
        <w:rPr>
          <w:rFonts w:ascii="Aptos" w:cs="Aptos" w:eastAsia="Aptos" w:hAnsi="Aptos"/>
          <w:sz w:val="24"/>
          <w:szCs w:val="24"/>
        </w:rPr>
        <w:t xml:space="preserve">	9</w:t>
      </w:r>
    </w:p>
    <w:p>
      <w:pPr>
        <w:tabs>
          <w:tab w:val="right" w:pos="8870"/>
        </w:tabs>
        <w:spacing w:line="276" w:after="60"/>
        <w:jc w:val="both"/>
      </w:pPr>
      <w:r>
        <w:rPr>
          <w:rFonts w:ascii="Aptos" w:cs="Aptos" w:eastAsia="Aptos" w:hAnsi="Aptos"/>
          <w:b w:val="false"/>
          <w:bCs w:val="false"/>
          <w:i w:val="false"/>
          <w:iCs w:val="false"/>
          <w:color w:val="000000"/>
          <w:sz w:val="24"/>
          <w:szCs w:val="24"/>
        </w:rPr>
        <w:t xml:space="preserve">  4.5  Öğrenme Süreci ve Teknik Evrim</w:t>
      </w:r>
      <w:r>
        <w:rPr>
          <w:rFonts w:ascii="Aptos" w:cs="Aptos" w:eastAsia="Aptos" w:hAnsi="Aptos"/>
          <w:sz w:val="24"/>
          <w:szCs w:val="24"/>
        </w:rPr>
        <w:t xml:space="preserve">	9</w:t>
      </w:r>
    </w:p>
    <w:p>
      <w:pPr>
        <w:tabs>
          <w:tab w:val="right" w:pos="8870"/>
        </w:tabs>
        <w:spacing w:line="276" w:after="60"/>
        <w:jc w:val="both"/>
      </w:pPr>
      <w:r>
        <w:rPr>
          <w:rFonts w:ascii="Aptos" w:cs="Aptos" w:eastAsia="Aptos" w:hAnsi="Aptos"/>
          <w:b w:val="false"/>
          <w:bCs w:val="false"/>
          <w:i w:val="false"/>
          <w:iCs w:val="false"/>
          <w:color w:val="000000"/>
          <w:sz w:val="24"/>
          <w:szCs w:val="24"/>
        </w:rPr>
        <w:t xml:space="preserve">5.  Yaklaşımın Gerekçesi, Kaynak Kullanımı ve Özgünlük (25 Puan)</w:t>
      </w:r>
      <w:r>
        <w:rPr>
          <w:rFonts w:ascii="Aptos" w:cs="Aptos" w:eastAsia="Aptos" w:hAnsi="Aptos"/>
          <w:sz w:val="24"/>
          <w:szCs w:val="24"/>
        </w:rPr>
        <w:t xml:space="preserve">	9</w:t>
      </w:r>
    </w:p>
    <w:p>
      <w:pPr>
        <w:tabs>
          <w:tab w:val="right" w:pos="8870"/>
        </w:tabs>
        <w:spacing w:line="276" w:after="60"/>
        <w:jc w:val="both"/>
      </w:pPr>
      <w:r>
        <w:rPr>
          <w:rFonts w:ascii="Aptos" w:cs="Aptos" w:eastAsia="Aptos" w:hAnsi="Aptos"/>
          <w:b w:val="false"/>
          <w:bCs w:val="false"/>
          <w:i w:val="false"/>
          <w:iCs w:val="false"/>
          <w:color w:val="000000"/>
          <w:sz w:val="24"/>
          <w:szCs w:val="24"/>
        </w:rPr>
        <w:t xml:space="preserve">  5.1  Neden Bu Algoritma / Mimari?</w:t>
      </w:r>
      <w:r>
        <w:rPr>
          <w:rFonts w:ascii="Aptos" w:cs="Aptos" w:eastAsia="Aptos" w:hAnsi="Aptos"/>
          <w:sz w:val="24"/>
          <w:szCs w:val="24"/>
        </w:rPr>
        <w:t xml:space="preserve">	9</w:t>
      </w:r>
    </w:p>
    <w:p>
      <w:pPr>
        <w:tabs>
          <w:tab w:val="right" w:pos="8870"/>
        </w:tabs>
        <w:spacing w:line="276" w:after="60"/>
        <w:jc w:val="both"/>
      </w:pPr>
      <w:r>
        <w:rPr>
          <w:rFonts w:ascii="Aptos" w:cs="Aptos" w:eastAsia="Aptos" w:hAnsi="Aptos"/>
          <w:b w:val="false"/>
          <w:bCs w:val="false"/>
          <w:i w:val="false"/>
          <w:iCs w:val="false"/>
          <w:color w:val="000000"/>
          <w:sz w:val="24"/>
          <w:szCs w:val="24"/>
        </w:rPr>
        <w:t xml:space="preserve">  5.2  Alternatifler Neden Elendi?</w:t>
      </w:r>
      <w:r>
        <w:rPr>
          <w:rFonts w:ascii="Aptos" w:cs="Aptos" w:eastAsia="Aptos" w:hAnsi="Aptos"/>
          <w:sz w:val="24"/>
          <w:szCs w:val="24"/>
        </w:rPr>
        <w:t xml:space="preserve">	10</w:t>
      </w:r>
    </w:p>
    <w:p>
      <w:pPr>
        <w:tabs>
          <w:tab w:val="right" w:pos="8870"/>
        </w:tabs>
        <w:spacing w:line="276" w:after="60"/>
        <w:jc w:val="both"/>
      </w:pPr>
      <w:r>
        <w:rPr>
          <w:rFonts w:ascii="Aptos" w:cs="Aptos" w:eastAsia="Aptos" w:hAnsi="Aptos"/>
          <w:b w:val="false"/>
          <w:bCs w:val="false"/>
          <w:i w:val="false"/>
          <w:iCs w:val="false"/>
          <w:color w:val="000000"/>
          <w:sz w:val="24"/>
          <w:szCs w:val="24"/>
        </w:rPr>
        <w:t xml:space="preserve">  5.3  Parametre Seçimi ve Model Ayarları</w:t>
      </w:r>
      <w:r>
        <w:rPr>
          <w:rFonts w:ascii="Aptos" w:cs="Aptos" w:eastAsia="Aptos" w:hAnsi="Aptos"/>
          <w:sz w:val="24"/>
          <w:szCs w:val="24"/>
        </w:rPr>
        <w:t xml:space="preserve">	10</w:t>
      </w:r>
    </w:p>
    <w:p>
      <w:pPr>
        <w:tabs>
          <w:tab w:val="right" w:pos="8870"/>
        </w:tabs>
        <w:spacing w:line="276" w:after="60"/>
        <w:jc w:val="both"/>
      </w:pPr>
      <w:r>
        <w:rPr>
          <w:rFonts w:ascii="Aptos" w:cs="Aptos" w:eastAsia="Aptos" w:hAnsi="Aptos"/>
          <w:b w:val="false"/>
          <w:bCs w:val="false"/>
          <w:i w:val="false"/>
          <w:iCs w:val="false"/>
          <w:color w:val="000000"/>
          <w:sz w:val="24"/>
          <w:szCs w:val="24"/>
        </w:rPr>
        <w:t xml:space="preserve">  5.4  Hesaplama Kaynakları ve Çalıştırılabilirlik</w:t>
      </w:r>
      <w:r>
        <w:rPr>
          <w:rFonts w:ascii="Aptos" w:cs="Aptos" w:eastAsia="Aptos" w:hAnsi="Aptos"/>
          <w:sz w:val="24"/>
          <w:szCs w:val="24"/>
        </w:rPr>
        <w:t xml:space="preserve">	10</w:t>
      </w:r>
    </w:p>
    <w:p>
      <w:pPr>
        <w:tabs>
          <w:tab w:val="right" w:pos="8870"/>
        </w:tabs>
        <w:spacing w:line="276" w:after="60"/>
        <w:jc w:val="both"/>
      </w:pPr>
      <w:r>
        <w:rPr>
          <w:rFonts w:ascii="Aptos" w:cs="Aptos" w:eastAsia="Aptos" w:hAnsi="Aptos"/>
          <w:b w:val="false"/>
          <w:bCs w:val="false"/>
          <w:i w:val="false"/>
          <w:iCs w:val="false"/>
          <w:color w:val="000000"/>
          <w:sz w:val="24"/>
          <w:szCs w:val="24"/>
        </w:rPr>
        <w:t xml:space="preserve">  5.5  Özgünlük</w:t>
      </w:r>
      <w:r>
        <w:rPr>
          <w:rFonts w:ascii="Aptos" w:cs="Aptos" w:eastAsia="Aptos" w:hAnsi="Aptos"/>
          <w:sz w:val="24"/>
          <w:szCs w:val="24"/>
        </w:rPr>
        <w:t xml:space="preserve">	10</w:t>
      </w:r>
    </w:p>
    <w:p>
      <w:pPr>
        <w:tabs>
          <w:tab w:val="right" w:pos="8870"/>
        </w:tabs>
        <w:spacing w:line="276" w:after="60"/>
        <w:jc w:val="both"/>
      </w:pPr>
      <w:r>
        <w:rPr>
          <w:rFonts w:ascii="Aptos" w:cs="Aptos" w:eastAsia="Aptos" w:hAnsi="Aptos"/>
          <w:b w:val="false"/>
          <w:bCs w:val="false"/>
          <w:i w:val="false"/>
          <w:iCs w:val="false"/>
          <w:color w:val="000000"/>
          <w:sz w:val="24"/>
          <w:szCs w:val="24"/>
        </w:rPr>
        <w:t xml:space="preserve">6.  Referanslar</w:t>
      </w:r>
      <w:r>
        <w:rPr>
          <w:rFonts w:ascii="Aptos" w:cs="Aptos" w:eastAsia="Aptos" w:hAnsi="Aptos"/>
          <w:sz w:val="24"/>
          <w:szCs w:val="24"/>
        </w:rPr>
        <w:t xml:space="preserve">	11</w:t>
      </w:r>
    </w:p>
    <w:p>
      <w:r>
        <w:br w:type="page"/>
      </w:r>
    </w:p>
    <w:p>
      <w:pPr>
        <w:pStyle w:val="Heading1"/>
        <w:spacing w:line="276" w:lineRule="auto" w:before="160" w:after="120"/>
        <w:jc w:val="left"/>
      </w:pPr>
      <w:r>
        <w:rPr>
          <w:rFonts w:ascii="Aptos" w:cs="Aptos" w:eastAsia="Aptos" w:hAnsi="Aptos"/>
          <w:b/>
          <w:bCs/>
          <w:color w:val="000000"/>
          <w:sz w:val="28"/>
          <w:szCs w:val="28"/>
        </w:rPr>
        <w:t xml:space="preserve">1. TAKIM ŞEMASI</w:t>
      </w:r>
    </w:p>
    <w:p>
      <w:pPr>
        <w:spacing w:line="276" w:lineRule="auto" w:before="0" w:after="120"/>
        <w:jc w:val="both"/>
      </w:pPr>
      <w:r>
        <w:rPr>
          <w:rFonts w:ascii="Aptos" w:cs="Aptos" w:eastAsia="Aptos" w:hAnsi="Aptos"/>
          <w:b w:val="false"/>
          <w:bCs w:val="false"/>
          <w:i w:val="false"/>
          <w:iCs w:val="false"/>
          <w:color w:val="000000"/>
          <w:sz w:val="24"/>
          <w:szCs w:val="24"/>
        </w:rPr>
        <w:t xml:space="preserve">Takım iki üyeden oluşmaktadır. Her üye projenin farklı teknik katmanından birincil sorumludur; kararlar ortak değerlendirmeyle alınmış, çıktılar karşılıklı incelemeyle doğrulanmıştır.</w:t>
      </w:r>
    </w:p>
    <w:p>
      <w:pPr>
        <w:spacing w:line="276" w:after="0" w:before="0"/>
      </w:pPr>
      <w:r>
        <w:rPr>
          <w:rFonts w:ascii="Aptos" w:cs="Aptos" w:eastAsia="Aptos" w:hAnsi="Aptos"/>
          <w:b w:val="false"/>
          <w:bCs w:val="false"/>
          <w:i w:val="false"/>
          <w:iCs w:val="false"/>
          <w:color w:val="000000"/>
          <w:sz w:val="24"/>
          <w:szCs w:val="24"/>
        </w:rPr>
        <w:t xml:space="preserve"/>
      </w:r>
    </w:p>
    <w:p>
      <w:pPr>
        <w:spacing w:line="276" w:lineRule="auto" w:before="0" w:after="120"/>
        <w:jc w:val="both"/>
      </w:pPr>
      <w:r>
        <w:rPr>
          <w:rFonts w:ascii="Aptos" w:cs="Aptos" w:eastAsia="Aptos" w:hAnsi="Aptos"/>
          <w:b/>
          <w:bCs/>
          <w:i w:val="false"/>
          <w:iCs w:val="false"/>
          <w:color w:val="000000"/>
          <w:sz w:val="24"/>
          <w:szCs w:val="24"/>
        </w:rPr>
        <w:t xml:space="preserve">Üye 1 – Veri Mühendisliği ve Biyoinformatik: </w:t>
      </w:r>
      <w:r>
        <w:rPr>
          <w:rFonts w:ascii="Aptos" w:cs="Aptos" w:eastAsia="Aptos" w:hAnsi="Aptos"/>
          <w:b w:val="false"/>
          <w:bCs w:val="false"/>
          <w:i w:val="false"/>
          <w:iCs w:val="false"/>
          <w:color w:val="000000"/>
          <w:sz w:val="24"/>
          <w:szCs w:val="24"/>
        </w:rPr>
        <w:t xml:space="preserve">ClinVar kaynaklı ham varyant verilerinin derlenmesi, temizlenmesi ve ACMG uyumlu biçimde etiketlenmesinden sorumludur. Patojenik/benign sınıf tanımlarının oluşturulması, dört panel ataması (Herediter Kanser, PAH, CFTR ve Master), tutarsız etiket tespiti (is_inconsistent bayrağı) ve DNA/protein bağlam dizilerinin çıkarılması bu üye tarafından gerçekleştirilmiştir. Veri hazırlama adımları tekrarlanabilir betiklerle kayıt altına alınmıştır.</w:t>
      </w:r>
    </w:p>
    <w:p>
      <w:pPr>
        <w:spacing w:line="276" w:after="0" w:before="0"/>
      </w:pPr>
      <w:r>
        <w:rPr>
          <w:rFonts w:ascii="Aptos" w:cs="Aptos" w:eastAsia="Aptos" w:hAnsi="Aptos"/>
          <w:b w:val="false"/>
          <w:bCs w:val="false"/>
          <w:i w:val="false"/>
          <w:iCs w:val="false"/>
          <w:color w:val="000000"/>
          <w:sz w:val="24"/>
          <w:szCs w:val="24"/>
        </w:rPr>
        <w:t xml:space="preserve"/>
      </w:r>
    </w:p>
    <w:p>
      <w:pPr>
        <w:spacing w:line="276" w:lineRule="auto" w:before="0" w:after="120"/>
        <w:jc w:val="both"/>
      </w:pPr>
      <w:r>
        <w:rPr>
          <w:rFonts w:ascii="Aptos" w:cs="Aptos" w:eastAsia="Aptos" w:hAnsi="Aptos"/>
          <w:b/>
          <w:bCs/>
          <w:i w:val="false"/>
          <w:iCs w:val="false"/>
          <w:color w:val="000000"/>
          <w:sz w:val="24"/>
          <w:szCs w:val="24"/>
        </w:rPr>
        <w:t xml:space="preserve">Üye 2 – Makine Öğrenmesi ve Model Geliştirme: </w:t>
      </w:r>
      <w:r>
        <w:rPr>
          <w:rFonts w:ascii="Aptos" w:cs="Aptos" w:eastAsia="Aptos" w:hAnsi="Aptos"/>
          <w:b w:val="false"/>
          <w:bCs w:val="false"/>
          <w:i w:val="false"/>
          <w:iCs w:val="false"/>
          <w:color w:val="000000"/>
          <w:sz w:val="24"/>
          <w:szCs w:val="24"/>
        </w:rPr>
        <w:t xml:space="preserve">Özellik mühendisliği (robust IQR ölçekleme, eksik değer stratejisi, Delta skorları türetme), Hybrid MoE V2 mimarisinin tasarımı ve uçtan uca eğitimi, hiperparametre optimizasyonu (Optuna), olasılık kalibrasyonu, karar eşiği seçimi ve SHAP tabanlı açıklanabilirlik analizlerinden sorumludur. Panel bazlı ve genel veri seti üzerindeki tüm performans metrikleri bu üye tarafından üretilmiş ve raporlanmıştır.</w:t>
      </w:r>
    </w:p>
    <w:p>
      <w:pPr>
        <w:spacing w:line="276" w:after="0" w:before="0"/>
      </w:pPr>
      <w:r>
        <w:rPr>
          <w:rFonts w:ascii="Aptos" w:cs="Aptos" w:eastAsia="Aptos" w:hAnsi="Aptos"/>
          <w:b w:val="false"/>
          <w:bCs w:val="false"/>
          <w:i w:val="false"/>
          <w:iCs w:val="false"/>
          <w:color w:val="000000"/>
          <w:sz w:val="24"/>
          <w:szCs w:val="24"/>
        </w:rPr>
        <w:t xml:space="preserve"/>
      </w:r>
    </w:p>
    <w:p>
      <w:pPr>
        <w:spacing w:line="276" w:lineRule="auto" w:before="0" w:after="120"/>
        <w:jc w:val="both"/>
      </w:pPr>
      <w:r>
        <w:rPr>
          <w:rFonts w:ascii="Aptos" w:cs="Aptos" w:eastAsia="Aptos" w:hAnsi="Aptos"/>
          <w:b/>
          <w:bCs/>
          <w:i w:val="false"/>
          <w:iCs w:val="false"/>
          <w:color w:val="000000"/>
          <w:sz w:val="24"/>
          <w:szCs w:val="24"/>
        </w:rPr>
        <w:t xml:space="preserve">Kalite Kontrol ve Karar Alma: </w:t>
      </w:r>
      <w:r>
        <w:rPr>
          <w:rFonts w:ascii="Aptos" w:cs="Aptos" w:eastAsia="Aptos" w:hAnsi="Aptos"/>
          <w:b w:val="false"/>
          <w:bCs w:val="false"/>
          <w:i w:val="false"/>
          <w:iCs w:val="false"/>
          <w:color w:val="000000"/>
          <w:sz w:val="24"/>
          <w:szCs w:val="24"/>
        </w:rPr>
        <w:t xml:space="preserve">Kod incelemeleri her geliştirme adımı sonrasında karşılıklı yapılmıştır. Deney sonuçları ortak bir notebook günlüğünde tutulmuş; model seçimi ve eşik kararları iki üyenin doğrulama metriklerini birlikte değerlendirmesiyle alınmıştır. Sürümleme için Git tabanlı bir akış benimsenmiş, her deneyin hiperparametreleri ve sonuçları commit mesajlarında belgelenmiştir.</w:t>
      </w:r>
    </w:p>
    <w:p>
      <w:pPr>
        <w:pStyle w:val="Heading1"/>
        <w:spacing w:line="276" w:lineRule="auto" w:before="160" w:after="120"/>
        <w:jc w:val="left"/>
      </w:pPr>
      <w:r>
        <w:rPr>
          <w:rFonts w:ascii="Aptos" w:cs="Aptos" w:eastAsia="Aptos" w:hAnsi="Aptos"/>
          <w:b/>
          <w:bCs/>
          <w:color w:val="000000"/>
          <w:sz w:val="28"/>
          <w:szCs w:val="28"/>
        </w:rPr>
        <w:t xml:space="preserve">2. PROBLEME EN YAKIN ÇÖZÜM SUNAN ULUSLARARASI MAKALELERİN ÖZETİ</w:t>
      </w:r>
    </w:p>
    <w:p>
      <w:pPr>
        <w:spacing w:line="276" w:lineRule="auto" w:before="0" w:after="120"/>
        <w:jc w:val="both"/>
      </w:pPr>
      <w:r>
        <w:rPr>
          <w:rFonts w:ascii="Aptos" w:cs="Aptos" w:eastAsia="Aptos" w:hAnsi="Aptos"/>
          <w:b w:val="false"/>
          <w:bCs w:val="false"/>
          <w:i w:val="false"/>
          <w:iCs w:val="false"/>
          <w:color w:val="000000"/>
          <w:sz w:val="24"/>
          <w:szCs w:val="24"/>
        </w:rPr>
        <w:t xml:space="preserve">Bu bölümde missense varyant patojenite sınıflandırması alanında yaklaşımımızı konumlandıran 7 çalışma özetlenmiştir. Seçim kriterleri: (i) ClinVar/gnomAD tabanlı değerlendirme, (ii) veri setindeki özellik gruplarıyla doğrudan örtüşme ve (iii) mimari tasarım kararlarımıza gerekçe sağlama. REVEL, BayesDel, SIFT, PhastCons, PhyloP ve AlphaMissense skorları veri setimizde doğrudan yer almakta olup bu durum söz konusu çalışmaları teknik referans noktası hâline getirmektedir.</w:t>
      </w:r>
    </w:p>
    <w:p>
      <w:pPr>
        <w:spacing w:line="276" w:after="0" w:before="0"/>
      </w:pPr>
      <w:r>
        <w:rPr>
          <w:rFonts w:ascii="Aptos" w:cs="Aptos" w:eastAsia="Aptos" w:hAnsi="Aptos"/>
          <w:b w:val="false"/>
          <w:bCs w:val="false"/>
          <w:i w:val="false"/>
          <w:iCs w:val="false"/>
          <w:color w:val="000000"/>
          <w:sz w:val="24"/>
          <w:szCs w:val="24"/>
        </w:rPr>
        <w:t xml:space="preserve"/>
      </w:r>
    </w:p>
    <w:p>
      <w:pPr>
        <w:spacing w:line="276" w:lineRule="auto" w:before="0" w:after="120"/>
        <w:jc w:val="both"/>
      </w:pPr>
      <w:r>
        <w:rPr>
          <w:rFonts w:ascii="Aptos" w:cs="Aptos" w:eastAsia="Aptos" w:hAnsi="Aptos"/>
          <w:b/>
          <w:bCs/>
          <w:i w:val="false"/>
          <w:iCs w:val="false"/>
          <w:color w:val="000000"/>
          <w:sz w:val="24"/>
          <w:szCs w:val="24"/>
        </w:rPr>
        <w:t xml:space="preserve">[1] Cheng et al., "Accurate proteome-wide missense variant effect prediction with AlphaMissense," </w:t>
      </w:r>
      <w:r>
        <w:rPr>
          <w:rFonts w:ascii="Aptos" w:cs="Aptos" w:eastAsia="Aptos" w:hAnsi="Aptos"/>
          <w:b w:val="false"/>
          <w:bCs w:val="false"/>
          <w:i/>
          <w:iCs/>
          <w:color w:val="000000"/>
          <w:sz w:val="24"/>
          <w:szCs w:val="24"/>
        </w:rPr>
        <w:t xml:space="preserve">Science</w:t>
      </w:r>
      <w:r>
        <w:rPr>
          <w:rFonts w:ascii="Aptos" w:cs="Aptos" w:eastAsia="Aptos" w:hAnsi="Aptos"/>
          <w:b/>
          <w:bCs/>
          <w:i w:val="false"/>
          <w:iCs w:val="false"/>
          <w:color w:val="000000"/>
          <w:sz w:val="24"/>
          <w:szCs w:val="24"/>
        </w:rPr>
        <w:t xml:space="preserve">, 2023.</w:t>
      </w:r>
    </w:p>
    <w:p>
      <w:pPr>
        <w:spacing w:line="276" w:lineRule="auto" w:before="0" w:after="120"/>
        <w:ind w:left="400"/>
        <w:jc w:val="both"/>
      </w:pPr>
      <w:r>
        <w:rPr>
          <w:rFonts w:ascii="Aptos" w:cs="Aptos" w:eastAsia="Aptos" w:hAnsi="Aptos"/>
          <w:b w:val="false"/>
          <w:bCs w:val="false"/>
          <w:i w:val="false"/>
          <w:iCs w:val="false"/>
          <w:color w:val="000000"/>
          <w:sz w:val="24"/>
          <w:szCs w:val="24"/>
        </w:rPr>
        <w:t xml:space="preserve">(i) </w:t>
      </w:r>
      <w:r>
        <w:rPr>
          <w:rFonts w:ascii="Aptos" w:cs="Aptos" w:eastAsia="Aptos" w:hAnsi="Aptos"/>
          <w:b/>
          <w:bCs/>
          <w:i w:val="false"/>
          <w:iCs w:val="false"/>
          <w:color w:val="000000"/>
          <w:sz w:val="24"/>
          <w:szCs w:val="24"/>
        </w:rPr>
        <w:t xml:space="preserve">Problem/Veri: </w:t>
      </w:r>
      <w:r>
        <w:rPr>
          <w:rFonts w:ascii="Aptos" w:cs="Aptos" w:eastAsia="Aptos" w:hAnsi="Aptos"/>
          <w:b w:val="false"/>
          <w:bCs w:val="false"/>
          <w:i w:val="false"/>
          <w:iCs w:val="false"/>
          <w:color w:val="000000"/>
          <w:sz w:val="24"/>
          <w:szCs w:val="24"/>
        </w:rPr>
        <w:t xml:space="preserve">İnsan proteomundaki tüm olası missense varyantların patojenik/benign sınıflandırılması.</w:t>
      </w:r>
    </w:p>
    <w:p>
      <w:pPr>
        <w:spacing w:line="276" w:lineRule="auto" w:before="0" w:after="120"/>
        <w:ind w:left="400"/>
        <w:jc w:val="both"/>
      </w:pPr>
      <w:r>
        <w:rPr>
          <w:rFonts w:ascii="Aptos" w:cs="Aptos" w:eastAsia="Aptos" w:hAnsi="Aptos"/>
          <w:b w:val="false"/>
          <w:bCs w:val="false"/>
          <w:i w:val="false"/>
          <w:iCs w:val="false"/>
          <w:color w:val="000000"/>
          <w:sz w:val="24"/>
          <w:szCs w:val="24"/>
        </w:rPr>
        <w:t xml:space="preserve">(ii) </w:t>
      </w:r>
      <w:r>
        <w:rPr>
          <w:rFonts w:ascii="Aptos" w:cs="Aptos" w:eastAsia="Aptos" w:hAnsi="Aptos"/>
          <w:b/>
          <w:bCs/>
          <w:i w:val="false"/>
          <w:iCs w:val="false"/>
          <w:color w:val="000000"/>
          <w:sz w:val="24"/>
          <w:szCs w:val="24"/>
        </w:rPr>
        <w:t xml:space="preserve">Yaklaşım: </w:t>
      </w:r>
      <w:r>
        <w:rPr>
          <w:rFonts w:ascii="Aptos" w:cs="Aptos" w:eastAsia="Aptos" w:hAnsi="Aptos"/>
          <w:b w:val="false"/>
          <w:bCs w:val="false"/>
          <w:i w:val="false"/>
          <w:iCs w:val="false"/>
          <w:color w:val="000000"/>
          <w:sz w:val="24"/>
          <w:szCs w:val="24"/>
        </w:rPr>
        <w:t xml:space="preserve">AlphaFold2 üzerine ince ayar (fine-tune) yapılmış protein dil modeli; yapısal bağlam ve evrimsel korunmuşluk birleştirilmiştir.</w:t>
      </w:r>
    </w:p>
    <w:p>
      <w:pPr>
        <w:spacing w:line="276" w:lineRule="auto" w:before="0" w:after="120"/>
        <w:ind w:left="400"/>
        <w:jc w:val="both"/>
      </w:pPr>
      <w:r>
        <w:rPr>
          <w:rFonts w:ascii="Aptos" w:cs="Aptos" w:eastAsia="Aptos" w:hAnsi="Aptos"/>
          <w:b w:val="false"/>
          <w:bCs w:val="false"/>
          <w:i w:val="false"/>
          <w:iCs w:val="false"/>
          <w:color w:val="000000"/>
          <w:sz w:val="24"/>
          <w:szCs w:val="24"/>
        </w:rPr>
        <w:t xml:space="preserve">(iii) </w:t>
      </w:r>
      <w:r>
        <w:rPr>
          <w:rFonts w:ascii="Aptos" w:cs="Aptos" w:eastAsia="Aptos" w:hAnsi="Aptos"/>
          <w:b/>
          <w:bCs/>
          <w:i w:val="false"/>
          <w:iCs w:val="false"/>
          <w:color w:val="000000"/>
          <w:sz w:val="24"/>
          <w:szCs w:val="24"/>
        </w:rPr>
        <w:t xml:space="preserve">Veri Kaynakları: </w:t>
      </w:r>
      <w:r>
        <w:rPr>
          <w:rFonts w:ascii="Aptos" w:cs="Aptos" w:eastAsia="Aptos" w:hAnsi="Aptos"/>
          <w:b w:val="false"/>
          <w:bCs w:val="false"/>
          <w:i w:val="false"/>
          <w:iCs w:val="false"/>
          <w:color w:val="000000"/>
          <w:sz w:val="24"/>
          <w:szCs w:val="24"/>
        </w:rPr>
        <w:t xml:space="preserve">ClinVar değerlendirme seti; insan ve primat popülasyon frekans veritabanları (gnomAD).</w:t>
      </w:r>
    </w:p>
    <w:p>
      <w:pPr>
        <w:spacing w:line="276" w:lineRule="auto" w:before="0" w:after="120"/>
        <w:ind w:left="400"/>
        <w:jc w:val="both"/>
      </w:pPr>
      <w:r>
        <w:rPr>
          <w:rFonts w:ascii="Aptos" w:cs="Aptos" w:eastAsia="Aptos" w:hAnsi="Aptos"/>
          <w:b w:val="false"/>
          <w:bCs w:val="false"/>
          <w:i w:val="false"/>
          <w:iCs w:val="false"/>
          <w:color w:val="000000"/>
          <w:sz w:val="24"/>
          <w:szCs w:val="24"/>
        </w:rPr>
        <w:t xml:space="preserve">(iv) </w:t>
      </w:r>
      <w:r>
        <w:rPr>
          <w:rFonts w:ascii="Aptos" w:cs="Aptos" w:eastAsia="Aptos" w:hAnsi="Aptos"/>
          <w:b/>
          <w:bCs/>
          <w:i w:val="false"/>
          <w:iCs w:val="false"/>
          <w:color w:val="000000"/>
          <w:sz w:val="24"/>
          <w:szCs w:val="24"/>
        </w:rPr>
        <w:t xml:space="preserve">Metrikler: </w:t>
      </w:r>
      <w:r>
        <w:rPr>
          <w:rFonts w:ascii="Aptos" w:cs="Aptos" w:eastAsia="Aptos" w:hAnsi="Aptos"/>
          <w:b w:val="false"/>
          <w:bCs w:val="false"/>
          <w:i w:val="false"/>
          <w:iCs w:val="false"/>
          <w:color w:val="000000"/>
          <w:sz w:val="24"/>
          <w:szCs w:val="24"/>
        </w:rPr>
        <w:t xml:space="preserve">ClinVar üzerinde %90 hassasiyetle %89 kapsama; AUC kendi sınıfında en yüksek olarak raporlanmıştır.</w:t>
      </w:r>
    </w:p>
    <w:p>
      <w:pPr>
        <w:spacing w:line="276" w:lineRule="auto" w:before="0" w:after="120"/>
        <w:ind w:left="400"/>
        <w:jc w:val="both"/>
      </w:pPr>
      <w:r>
        <w:rPr>
          <w:rFonts w:ascii="Aptos" w:cs="Aptos" w:eastAsia="Aptos" w:hAnsi="Aptos"/>
          <w:b w:val="false"/>
          <w:bCs w:val="false"/>
          <w:i w:val="false"/>
          <w:iCs w:val="false"/>
          <w:color w:val="000000"/>
          <w:sz w:val="24"/>
          <w:szCs w:val="24"/>
        </w:rPr>
        <w:t xml:space="preserve">(v) </w:t>
      </w:r>
      <w:r>
        <w:rPr>
          <w:rFonts w:ascii="Aptos" w:cs="Aptos" w:eastAsia="Aptos" w:hAnsi="Aptos"/>
          <w:b/>
          <w:bCs/>
          <w:i w:val="false"/>
          <w:iCs w:val="false"/>
          <w:color w:val="000000"/>
          <w:sz w:val="24"/>
          <w:szCs w:val="24"/>
        </w:rPr>
        <w:t xml:space="preserve">Sınırlılıklar: </w:t>
      </w:r>
      <w:r>
        <w:rPr>
          <w:rFonts w:ascii="Aptos" w:cs="Aptos" w:eastAsia="Aptos" w:hAnsi="Aptos"/>
          <w:b w:val="false"/>
          <w:bCs w:val="false"/>
          <w:i w:val="false"/>
          <w:iCs w:val="false"/>
          <w:color w:val="000000"/>
          <w:sz w:val="24"/>
          <w:szCs w:val="24"/>
        </w:rPr>
        <w:t xml:space="preserve">Eşik yalnızca genel ClinVar verisi üzerinde kalibre edilmiştir; de novo varyantlarda evrimsel korunmuşluk verisi yetersiz kalabilmektedir.</w:t>
      </w:r>
    </w:p>
    <w:p>
      <w:pPr>
        <w:spacing w:line="276" w:lineRule="auto" w:before="0" w:after="120"/>
        <w:jc w:val="both"/>
      </w:pPr>
      <w:r>
        <w:rPr>
          <w:rFonts w:ascii="Aptos" w:cs="Aptos" w:eastAsia="Aptos" w:hAnsi="Aptos"/>
          <w:b/>
          <w:bCs/>
          <w:i w:val="false"/>
          <w:iCs w:val="false"/>
          <w:color w:val="000000"/>
          <w:sz w:val="24"/>
          <w:szCs w:val="24"/>
        </w:rPr>
        <w:t xml:space="preserve">Konumlama: </w:t>
      </w:r>
      <w:r>
        <w:rPr>
          <w:rFonts w:ascii="Aptos" w:cs="Aptos" w:eastAsia="Aptos" w:hAnsi="Aptos"/>
          <w:b w:val="false"/>
          <w:bCs w:val="false"/>
          <w:i w:val="false"/>
          <w:iCs w:val="false"/>
          <w:color w:val="000000"/>
          <w:sz w:val="24"/>
          <w:szCs w:val="24"/>
        </w:rPr>
        <w:t xml:space="preserve">dbnsfp_alphamissense_score sütunu tabular özellik havuzumuzun birincil bileşenlerinden biridir. Modelimiz bu skoru ham girdi olarak alarak derin bağlamsal bilgiyi miras almaktadır.</w:t>
      </w:r>
    </w:p>
    <w:p>
      <w:pPr>
        <w:spacing w:line="276" w:after="0" w:before="0"/>
      </w:pPr>
      <w:r>
        <w:rPr>
          <w:rFonts w:ascii="Aptos" w:cs="Aptos" w:eastAsia="Aptos" w:hAnsi="Aptos"/>
          <w:b w:val="false"/>
          <w:bCs w:val="false"/>
          <w:i w:val="false"/>
          <w:iCs w:val="false"/>
          <w:color w:val="000000"/>
          <w:sz w:val="24"/>
          <w:szCs w:val="24"/>
        </w:rPr>
        <w:t xml:space="preserve"/>
      </w:r>
    </w:p>
    <w:p>
      <w:pPr>
        <w:spacing w:line="276" w:lineRule="auto" w:before="0" w:after="120"/>
        <w:jc w:val="both"/>
      </w:pPr>
      <w:r>
        <w:rPr>
          <w:rFonts w:ascii="Aptos" w:cs="Aptos" w:eastAsia="Aptos" w:hAnsi="Aptos"/>
          <w:b/>
          <w:bCs/>
          <w:i w:val="false"/>
          <w:iCs w:val="false"/>
          <w:color w:val="000000"/>
          <w:sz w:val="24"/>
          <w:szCs w:val="24"/>
        </w:rPr>
        <w:t xml:space="preserve">[2] Ioannidis et al., "REVEL: An Ensemble Method for Predicting the Pathogenicity of Rare Missense Variants," </w:t>
      </w:r>
      <w:r>
        <w:rPr>
          <w:rFonts w:ascii="Aptos" w:cs="Aptos" w:eastAsia="Aptos" w:hAnsi="Aptos"/>
          <w:b w:val="false"/>
          <w:bCs w:val="false"/>
          <w:i/>
          <w:iCs/>
          <w:color w:val="000000"/>
          <w:sz w:val="24"/>
          <w:szCs w:val="24"/>
        </w:rPr>
        <w:t xml:space="preserve">Am. J. Hum. Genet.</w:t>
      </w:r>
      <w:r>
        <w:rPr>
          <w:rFonts w:ascii="Aptos" w:cs="Aptos" w:eastAsia="Aptos" w:hAnsi="Aptos"/>
          <w:b/>
          <w:bCs/>
          <w:i w:val="false"/>
          <w:iCs w:val="false"/>
          <w:color w:val="000000"/>
          <w:sz w:val="24"/>
          <w:szCs w:val="24"/>
        </w:rPr>
        <w:t xml:space="preserve">, 2016.</w:t>
      </w:r>
    </w:p>
    <w:p>
      <w:pPr>
        <w:spacing w:line="276" w:lineRule="auto" w:before="0" w:after="120"/>
        <w:ind w:left="400"/>
        <w:jc w:val="both"/>
      </w:pPr>
      <w:r>
        <w:rPr>
          <w:rFonts w:ascii="Aptos" w:cs="Aptos" w:eastAsia="Aptos" w:hAnsi="Aptos"/>
          <w:b w:val="false"/>
          <w:bCs w:val="false"/>
          <w:i w:val="false"/>
          <w:iCs w:val="false"/>
          <w:color w:val="000000"/>
          <w:sz w:val="24"/>
          <w:szCs w:val="24"/>
        </w:rPr>
        <w:t xml:space="preserve">(i) </w:t>
      </w:r>
      <w:r>
        <w:rPr>
          <w:rFonts w:ascii="Aptos" w:cs="Aptos" w:eastAsia="Aptos" w:hAnsi="Aptos"/>
          <w:b/>
          <w:bCs/>
          <w:i w:val="false"/>
          <w:iCs w:val="false"/>
          <w:color w:val="000000"/>
          <w:sz w:val="24"/>
          <w:szCs w:val="24"/>
        </w:rPr>
        <w:t xml:space="preserve">Problem/Veri: </w:t>
      </w:r>
      <w:r>
        <w:rPr>
          <w:rFonts w:ascii="Aptos" w:cs="Aptos" w:eastAsia="Aptos" w:hAnsi="Aptos"/>
          <w:b w:val="false"/>
          <w:bCs w:val="false"/>
          <w:i w:val="false"/>
          <w:iCs w:val="false"/>
          <w:color w:val="000000"/>
          <w:sz w:val="24"/>
          <w:szCs w:val="24"/>
        </w:rPr>
        <w:t xml:space="preserve">Alel frekansı &lt;0.5% nadir missense varyantların patojenik/benign ayrımı.</w:t>
      </w:r>
    </w:p>
    <w:p>
      <w:pPr>
        <w:spacing w:line="276" w:lineRule="auto" w:before="0" w:after="120"/>
        <w:ind w:left="400"/>
        <w:jc w:val="both"/>
      </w:pPr>
      <w:r>
        <w:rPr>
          <w:rFonts w:ascii="Aptos" w:cs="Aptos" w:eastAsia="Aptos" w:hAnsi="Aptos"/>
          <w:b w:val="false"/>
          <w:bCs w:val="false"/>
          <w:i w:val="false"/>
          <w:iCs w:val="false"/>
          <w:color w:val="000000"/>
          <w:sz w:val="24"/>
          <w:szCs w:val="24"/>
        </w:rPr>
        <w:t xml:space="preserve">(ii) </w:t>
      </w:r>
      <w:r>
        <w:rPr>
          <w:rFonts w:ascii="Aptos" w:cs="Aptos" w:eastAsia="Aptos" w:hAnsi="Aptos"/>
          <w:b/>
          <w:bCs/>
          <w:i w:val="false"/>
          <w:iCs w:val="false"/>
          <w:color w:val="000000"/>
          <w:sz w:val="24"/>
          <w:szCs w:val="24"/>
        </w:rPr>
        <w:t xml:space="preserve">Yaklaşım: </w:t>
      </w:r>
      <w:r>
        <w:rPr>
          <w:rFonts w:ascii="Aptos" w:cs="Aptos" w:eastAsia="Aptos" w:hAnsi="Aptos"/>
          <w:b w:val="false"/>
          <w:bCs w:val="false"/>
          <w:i w:val="false"/>
          <w:iCs w:val="false"/>
          <w:color w:val="000000"/>
          <w:sz w:val="24"/>
          <w:szCs w:val="24"/>
        </w:rPr>
        <w:t xml:space="preserve">SIFT, PolyPhen-2, MutationAssessor dahil 13 in-silico aracı birleştiren rastgele orman ensemble.</w:t>
      </w:r>
    </w:p>
    <w:p>
      <w:pPr>
        <w:spacing w:line="276" w:lineRule="auto" w:before="0" w:after="120"/>
        <w:ind w:left="400"/>
        <w:jc w:val="both"/>
      </w:pPr>
      <w:r>
        <w:rPr>
          <w:rFonts w:ascii="Aptos" w:cs="Aptos" w:eastAsia="Aptos" w:hAnsi="Aptos"/>
          <w:b w:val="false"/>
          <w:bCs w:val="false"/>
          <w:i w:val="false"/>
          <w:iCs w:val="false"/>
          <w:color w:val="000000"/>
          <w:sz w:val="24"/>
          <w:szCs w:val="24"/>
        </w:rPr>
        <w:t xml:space="preserve">(iii) </w:t>
      </w:r>
      <w:r>
        <w:rPr>
          <w:rFonts w:ascii="Aptos" w:cs="Aptos" w:eastAsia="Aptos" w:hAnsi="Aptos"/>
          <w:b/>
          <w:bCs/>
          <w:i w:val="false"/>
          <w:iCs w:val="false"/>
          <w:color w:val="000000"/>
          <w:sz w:val="24"/>
          <w:szCs w:val="24"/>
        </w:rPr>
        <w:t xml:space="preserve">Veri Kaynakları: </w:t>
      </w:r>
      <w:r>
        <w:rPr>
          <w:rFonts w:ascii="Aptos" w:cs="Aptos" w:eastAsia="Aptos" w:hAnsi="Aptos"/>
          <w:b w:val="false"/>
          <w:bCs w:val="false"/>
          <w:i w:val="false"/>
          <w:iCs w:val="false"/>
          <w:color w:val="000000"/>
          <w:sz w:val="24"/>
          <w:szCs w:val="24"/>
        </w:rPr>
        <w:t xml:space="preserve">HGMD hastalık mutasyonları (eğitim); ClinVar ve SwissVar varyantları (test).</w:t>
      </w:r>
    </w:p>
    <w:p>
      <w:pPr>
        <w:spacing w:line="276" w:lineRule="auto" w:before="0" w:after="120"/>
        <w:ind w:left="400"/>
        <w:jc w:val="both"/>
      </w:pPr>
      <w:r>
        <w:rPr>
          <w:rFonts w:ascii="Aptos" w:cs="Aptos" w:eastAsia="Aptos" w:hAnsi="Aptos"/>
          <w:b w:val="false"/>
          <w:bCs w:val="false"/>
          <w:i w:val="false"/>
          <w:iCs w:val="false"/>
          <w:color w:val="000000"/>
          <w:sz w:val="24"/>
          <w:szCs w:val="24"/>
        </w:rPr>
        <w:t xml:space="preserve">(iv) </w:t>
      </w:r>
      <w:r>
        <w:rPr>
          <w:rFonts w:ascii="Aptos" w:cs="Aptos" w:eastAsia="Aptos" w:hAnsi="Aptos"/>
          <w:b/>
          <w:bCs/>
          <w:i w:val="false"/>
          <w:iCs w:val="false"/>
          <w:color w:val="000000"/>
          <w:sz w:val="24"/>
          <w:szCs w:val="24"/>
        </w:rPr>
        <w:t xml:space="preserve">Metrikler: </w:t>
      </w:r>
      <w:r>
        <w:rPr>
          <w:rFonts w:ascii="Aptos" w:cs="Aptos" w:eastAsia="Aptos" w:hAnsi="Aptos"/>
          <w:b w:val="false"/>
          <w:bCs w:val="false"/>
          <w:i w:val="false"/>
          <w:iCs w:val="false"/>
          <w:color w:val="000000"/>
          <w:sz w:val="24"/>
          <w:szCs w:val="24"/>
        </w:rPr>
        <w:t xml:space="preserve">İki bağımsız test setinde rakip tüm ensemble yöntemlerinden istatistiksel olarak üstün AUC (p &lt; 10⁻¹²); ClinVar setinde en yakın rakibe kıyasla 0.027–0.143 AUC artışı.</w:t>
      </w:r>
    </w:p>
    <w:p>
      <w:pPr>
        <w:spacing w:line="276" w:lineRule="auto" w:before="0" w:after="120"/>
        <w:ind w:left="400"/>
        <w:jc w:val="both"/>
      </w:pPr>
      <w:r>
        <w:rPr>
          <w:rFonts w:ascii="Aptos" w:cs="Aptos" w:eastAsia="Aptos" w:hAnsi="Aptos"/>
          <w:b w:val="false"/>
          <w:bCs w:val="false"/>
          <w:i w:val="false"/>
          <w:iCs w:val="false"/>
          <w:color w:val="000000"/>
          <w:sz w:val="24"/>
          <w:szCs w:val="24"/>
        </w:rPr>
        <w:t xml:space="preserve">(v) </w:t>
      </w:r>
      <w:r>
        <w:rPr>
          <w:rFonts w:ascii="Aptos" w:cs="Aptos" w:eastAsia="Aptos" w:hAnsi="Aptos"/>
          <w:b/>
          <w:bCs/>
          <w:i w:val="false"/>
          <w:iCs w:val="false"/>
          <w:color w:val="000000"/>
          <w:sz w:val="24"/>
          <w:szCs w:val="24"/>
        </w:rPr>
        <w:t xml:space="preserve">Sınırlılıklar: </w:t>
      </w:r>
      <w:r>
        <w:rPr>
          <w:rFonts w:ascii="Aptos" w:cs="Aptos" w:eastAsia="Aptos" w:hAnsi="Aptos"/>
          <w:b w:val="false"/>
          <w:bCs w:val="false"/>
          <w:i w:val="false"/>
          <w:iCs w:val="false"/>
          <w:color w:val="000000"/>
          <w:sz w:val="24"/>
          <w:szCs w:val="24"/>
        </w:rPr>
        <w:t xml:space="preserve">ClinVar varyantları eğitimde kısmen kullanıldığından test seti örtüşme riski mevcuttur.</w:t>
      </w:r>
    </w:p>
    <w:p>
      <w:pPr>
        <w:spacing w:line="276" w:lineRule="auto" w:before="0" w:after="120"/>
        <w:jc w:val="both"/>
      </w:pPr>
      <w:r>
        <w:rPr>
          <w:rFonts w:ascii="Aptos" w:cs="Aptos" w:eastAsia="Aptos" w:hAnsi="Aptos"/>
          <w:b/>
          <w:bCs/>
          <w:i w:val="false"/>
          <w:iCs w:val="false"/>
          <w:color w:val="000000"/>
          <w:sz w:val="24"/>
          <w:szCs w:val="24"/>
        </w:rPr>
        <w:t xml:space="preserve">Konumlama: </w:t>
      </w:r>
      <w:r>
        <w:rPr>
          <w:rFonts w:ascii="Aptos" w:cs="Aptos" w:eastAsia="Aptos" w:hAnsi="Aptos"/>
          <w:b w:val="false"/>
          <w:bCs w:val="false"/>
          <w:i w:val="false"/>
          <w:iCs w:val="false"/>
          <w:color w:val="000000"/>
          <w:sz w:val="24"/>
          <w:szCs w:val="24"/>
        </w:rPr>
        <w:t xml:space="preserve">dbnsfp_revel_score doğrudan özellik setimizde yer almaktadır. REVEL'in ensemble mantığı, kendi çok-uzman (MoE) mimarimizin ön örneği niteliğindedir.</w:t>
      </w:r>
    </w:p>
    <w:p>
      <w:pPr>
        <w:spacing w:line="276" w:after="0" w:before="0"/>
      </w:pPr>
      <w:r>
        <w:rPr>
          <w:rFonts w:ascii="Aptos" w:cs="Aptos" w:eastAsia="Aptos" w:hAnsi="Aptos"/>
          <w:b w:val="false"/>
          <w:bCs w:val="false"/>
          <w:i w:val="false"/>
          <w:iCs w:val="false"/>
          <w:color w:val="000000"/>
          <w:sz w:val="24"/>
          <w:szCs w:val="24"/>
        </w:rPr>
        <w:t xml:space="preserve"/>
      </w:r>
    </w:p>
    <w:p>
      <w:pPr>
        <w:spacing w:line="276" w:lineRule="auto" w:before="0" w:after="120"/>
        <w:jc w:val="both"/>
      </w:pPr>
      <w:r>
        <w:rPr>
          <w:rFonts w:ascii="Aptos" w:cs="Aptos" w:eastAsia="Aptos" w:hAnsi="Aptos"/>
          <w:b/>
          <w:bCs/>
          <w:i w:val="false"/>
          <w:iCs w:val="false"/>
          <w:color w:val="000000"/>
          <w:sz w:val="24"/>
          <w:szCs w:val="24"/>
        </w:rPr>
        <w:t xml:space="preserve">[3] Feng, "BayesDel"; Tian et al., "REVEL and BayesDel outperform other in silico meta-predictors," </w:t>
      </w:r>
      <w:r>
        <w:rPr>
          <w:rFonts w:ascii="Aptos" w:cs="Aptos" w:eastAsia="Aptos" w:hAnsi="Aptos"/>
          <w:b w:val="false"/>
          <w:bCs w:val="false"/>
          <w:i/>
          <w:iCs/>
          <w:color w:val="000000"/>
          <w:sz w:val="24"/>
          <w:szCs w:val="24"/>
        </w:rPr>
        <w:t xml:space="preserve">Sci. Rep.</w:t>
      </w:r>
      <w:r>
        <w:rPr>
          <w:rFonts w:ascii="Aptos" w:cs="Aptos" w:eastAsia="Aptos" w:hAnsi="Aptos"/>
          <w:b/>
          <w:bCs/>
          <w:i w:val="false"/>
          <w:iCs w:val="false"/>
          <w:color w:val="000000"/>
          <w:sz w:val="24"/>
          <w:szCs w:val="24"/>
        </w:rPr>
        <w:t xml:space="preserve">, 2019.</w:t>
      </w:r>
    </w:p>
    <w:p>
      <w:pPr>
        <w:spacing w:line="276" w:lineRule="auto" w:before="0" w:after="120"/>
        <w:ind w:left="400"/>
        <w:jc w:val="both"/>
      </w:pPr>
      <w:r>
        <w:rPr>
          <w:rFonts w:ascii="Aptos" w:cs="Aptos" w:eastAsia="Aptos" w:hAnsi="Aptos"/>
          <w:b w:val="false"/>
          <w:bCs w:val="false"/>
          <w:i w:val="false"/>
          <w:iCs w:val="false"/>
          <w:color w:val="000000"/>
          <w:sz w:val="24"/>
          <w:szCs w:val="24"/>
        </w:rPr>
        <w:t xml:space="preserve">(i) </w:t>
      </w:r>
      <w:r>
        <w:rPr>
          <w:rFonts w:ascii="Aptos" w:cs="Aptos" w:eastAsia="Aptos" w:hAnsi="Aptos"/>
          <w:b/>
          <w:bCs/>
          <w:i w:val="false"/>
          <w:iCs w:val="false"/>
          <w:color w:val="000000"/>
          <w:sz w:val="24"/>
          <w:szCs w:val="24"/>
        </w:rPr>
        <w:t xml:space="preserve">Problem/Veri: </w:t>
      </w:r>
      <w:r>
        <w:rPr>
          <w:rFonts w:ascii="Aptos" w:cs="Aptos" w:eastAsia="Aptos" w:hAnsi="Aptos"/>
          <w:b w:val="false"/>
          <w:bCs w:val="false"/>
          <w:i w:val="false"/>
          <w:iCs w:val="false"/>
          <w:color w:val="000000"/>
          <w:sz w:val="24"/>
          <w:szCs w:val="24"/>
        </w:rPr>
        <w:t xml:space="preserve">66 klinik öneme sahip gen üzerinde missense varyant değerlendirmesi (4.094 ClinVar varyantı).</w:t>
      </w:r>
    </w:p>
    <w:p>
      <w:pPr>
        <w:spacing w:line="276" w:lineRule="auto" w:before="0" w:after="120"/>
        <w:ind w:left="400"/>
        <w:jc w:val="both"/>
      </w:pPr>
      <w:r>
        <w:rPr>
          <w:rFonts w:ascii="Aptos" w:cs="Aptos" w:eastAsia="Aptos" w:hAnsi="Aptos"/>
          <w:b w:val="false"/>
          <w:bCs w:val="false"/>
          <w:i w:val="false"/>
          <w:iCs w:val="false"/>
          <w:color w:val="000000"/>
          <w:sz w:val="24"/>
          <w:szCs w:val="24"/>
        </w:rPr>
        <w:t xml:space="preserve">(ii) </w:t>
      </w:r>
      <w:r>
        <w:rPr>
          <w:rFonts w:ascii="Aptos" w:cs="Aptos" w:eastAsia="Aptos" w:hAnsi="Aptos"/>
          <w:b/>
          <w:bCs/>
          <w:i w:val="false"/>
          <w:iCs w:val="false"/>
          <w:color w:val="000000"/>
          <w:sz w:val="24"/>
          <w:szCs w:val="24"/>
        </w:rPr>
        <w:t xml:space="preserve">Yaklaşım: </w:t>
      </w:r>
      <w:r>
        <w:rPr>
          <w:rFonts w:ascii="Aptos" w:cs="Aptos" w:eastAsia="Aptos" w:hAnsi="Aptos"/>
          <w:b w:val="false"/>
          <w:bCs w:val="false"/>
          <w:i w:val="false"/>
          <w:iCs w:val="false"/>
          <w:color w:val="000000"/>
          <w:sz w:val="24"/>
          <w:szCs w:val="24"/>
        </w:rPr>
        <w:t xml:space="preserve">Bayesian istatistiksel çerçeve; allel frekansı dahil (addAF) ve hariç (noAF) iki sürüm.</w:t>
      </w:r>
    </w:p>
    <w:p>
      <w:pPr>
        <w:spacing w:line="276" w:lineRule="auto" w:before="0" w:after="120"/>
        <w:ind w:left="400"/>
        <w:jc w:val="both"/>
      </w:pPr>
      <w:r>
        <w:rPr>
          <w:rFonts w:ascii="Aptos" w:cs="Aptos" w:eastAsia="Aptos" w:hAnsi="Aptos"/>
          <w:b w:val="false"/>
          <w:bCs w:val="false"/>
          <w:i w:val="false"/>
          <w:iCs w:val="false"/>
          <w:color w:val="000000"/>
          <w:sz w:val="24"/>
          <w:szCs w:val="24"/>
        </w:rPr>
        <w:t xml:space="preserve">(iii) </w:t>
      </w:r>
      <w:r>
        <w:rPr>
          <w:rFonts w:ascii="Aptos" w:cs="Aptos" w:eastAsia="Aptos" w:hAnsi="Aptos"/>
          <w:b/>
          <w:bCs/>
          <w:i w:val="false"/>
          <w:iCs w:val="false"/>
          <w:color w:val="000000"/>
          <w:sz w:val="24"/>
          <w:szCs w:val="24"/>
        </w:rPr>
        <w:t xml:space="preserve">Veri Kaynakları: </w:t>
      </w:r>
      <w:r>
        <w:rPr>
          <w:rFonts w:ascii="Aptos" w:cs="Aptos" w:eastAsia="Aptos" w:hAnsi="Aptos"/>
          <w:b w:val="false"/>
          <w:bCs w:val="false"/>
          <w:i w:val="false"/>
          <w:iCs w:val="false"/>
          <w:color w:val="000000"/>
          <w:sz w:val="24"/>
          <w:szCs w:val="24"/>
        </w:rPr>
        <w:t xml:space="preserve">ClinVar (kalibrasyon), gnomAD allel frekansı.</w:t>
      </w:r>
    </w:p>
    <w:p>
      <w:pPr>
        <w:spacing w:line="276" w:lineRule="auto" w:before="0" w:after="120"/>
        <w:ind w:left="400"/>
        <w:jc w:val="both"/>
      </w:pPr>
      <w:r>
        <w:rPr>
          <w:rFonts w:ascii="Aptos" w:cs="Aptos" w:eastAsia="Aptos" w:hAnsi="Aptos"/>
          <w:b w:val="false"/>
          <w:bCs w:val="false"/>
          <w:i w:val="false"/>
          <w:iCs w:val="false"/>
          <w:color w:val="000000"/>
          <w:sz w:val="24"/>
          <w:szCs w:val="24"/>
        </w:rPr>
        <w:t xml:space="preserve">(iv) </w:t>
      </w:r>
      <w:r>
        <w:rPr>
          <w:rFonts w:ascii="Aptos" w:cs="Aptos" w:eastAsia="Aptos" w:hAnsi="Aptos"/>
          <w:b/>
          <w:bCs/>
          <w:i w:val="false"/>
          <w:iCs w:val="false"/>
          <w:color w:val="000000"/>
          <w:sz w:val="24"/>
          <w:szCs w:val="24"/>
        </w:rPr>
        <w:t xml:space="preserve">Metrikler: </w:t>
      </w:r>
      <w:r>
        <w:rPr>
          <w:rFonts w:ascii="Aptos" w:cs="Aptos" w:eastAsia="Aptos" w:hAnsi="Aptos"/>
          <w:b w:val="false"/>
          <w:bCs w:val="false"/>
          <w:i w:val="false"/>
          <w:iCs w:val="false"/>
          <w:color w:val="000000"/>
          <w:sz w:val="24"/>
          <w:szCs w:val="24"/>
        </w:rPr>
        <w:t xml:space="preserve">BayesDel ve REVEL, genel tahmin performansında (OPP ≈ 0.907–0.908) CADD, MetaSVM ve Eigen'ı geride bırakmıştır.</w:t>
      </w:r>
    </w:p>
    <w:p>
      <w:pPr>
        <w:spacing w:line="276" w:lineRule="auto" w:before="0" w:after="120"/>
        <w:ind w:left="400"/>
        <w:jc w:val="both"/>
      </w:pPr>
      <w:r>
        <w:rPr>
          <w:rFonts w:ascii="Aptos" w:cs="Aptos" w:eastAsia="Aptos" w:hAnsi="Aptos"/>
          <w:b w:val="false"/>
          <w:bCs w:val="false"/>
          <w:i w:val="false"/>
          <w:iCs w:val="false"/>
          <w:color w:val="000000"/>
          <w:sz w:val="24"/>
          <w:szCs w:val="24"/>
        </w:rPr>
        <w:t xml:space="preserve">(v) </w:t>
      </w:r>
      <w:r>
        <w:rPr>
          <w:rFonts w:ascii="Aptos" w:cs="Aptos" w:eastAsia="Aptos" w:hAnsi="Aptos"/>
          <w:b/>
          <w:bCs/>
          <w:i w:val="false"/>
          <w:iCs w:val="false"/>
          <w:color w:val="000000"/>
          <w:sz w:val="24"/>
          <w:szCs w:val="24"/>
        </w:rPr>
        <w:t xml:space="preserve">Sınırlılıklar: </w:t>
      </w:r>
      <w:r>
        <w:rPr>
          <w:rFonts w:ascii="Aptos" w:cs="Aptos" w:eastAsia="Aptos" w:hAnsi="Aptos"/>
          <w:b w:val="false"/>
          <w:bCs w:val="false"/>
          <w:i w:val="false"/>
          <w:iCs w:val="false"/>
          <w:color w:val="000000"/>
          <w:sz w:val="24"/>
          <w:szCs w:val="24"/>
        </w:rPr>
        <w:t xml:space="preserve">Allel frekansının doğrudan özellik olarak kullanılması çok nadir patojenik varyantlarda yanlış sınıflandırmaya yol açabilmektedir.</w:t>
      </w:r>
    </w:p>
    <w:p>
      <w:pPr>
        <w:spacing w:line="276" w:lineRule="auto" w:before="0" w:after="120"/>
        <w:jc w:val="both"/>
      </w:pPr>
      <w:r>
        <w:rPr>
          <w:rFonts w:ascii="Aptos" w:cs="Aptos" w:eastAsia="Aptos" w:hAnsi="Aptos"/>
          <w:b/>
          <w:bCs/>
          <w:i w:val="false"/>
          <w:iCs w:val="false"/>
          <w:color w:val="000000"/>
          <w:sz w:val="24"/>
          <w:szCs w:val="24"/>
        </w:rPr>
        <w:t xml:space="preserve">Konumlama: </w:t>
      </w:r>
      <w:r>
        <w:rPr>
          <w:rFonts w:ascii="Aptos" w:cs="Aptos" w:eastAsia="Aptos" w:hAnsi="Aptos"/>
          <w:b w:val="false"/>
          <w:bCs w:val="false"/>
          <w:i w:val="false"/>
          <w:iCs w:val="false"/>
          <w:color w:val="000000"/>
          <w:sz w:val="24"/>
          <w:szCs w:val="24"/>
        </w:rPr>
        <w:t xml:space="preserve">dbnsfp_bayesdel_no_af_score sütunuyla veri setimize entegre edilmiştir. Frekans bağımsız sürümün tercih edilmesi, nadir varyantlarda önyargıyı azaltma stratejimizle örtüşmektedir.</w:t>
      </w:r>
    </w:p>
    <w:p>
      <w:pPr>
        <w:spacing w:line="276" w:after="0" w:before="0"/>
      </w:pPr>
      <w:r>
        <w:rPr>
          <w:rFonts w:ascii="Aptos" w:cs="Aptos" w:eastAsia="Aptos" w:hAnsi="Aptos"/>
          <w:b w:val="false"/>
          <w:bCs w:val="false"/>
          <w:i w:val="false"/>
          <w:iCs w:val="false"/>
          <w:color w:val="000000"/>
          <w:sz w:val="24"/>
          <w:szCs w:val="24"/>
        </w:rPr>
        <w:t xml:space="preserve"/>
      </w:r>
    </w:p>
    <w:p>
      <w:pPr>
        <w:spacing w:line="276" w:lineRule="auto" w:before="0" w:after="120"/>
        <w:jc w:val="both"/>
      </w:pPr>
      <w:r>
        <w:rPr>
          <w:rFonts w:ascii="Aptos" w:cs="Aptos" w:eastAsia="Aptos" w:hAnsi="Aptos"/>
          <w:b/>
          <w:bCs/>
          <w:i w:val="false"/>
          <w:iCs w:val="false"/>
          <w:color w:val="000000"/>
          <w:sz w:val="24"/>
          <w:szCs w:val="24"/>
        </w:rPr>
        <w:t xml:space="preserve">[4] Frazer et al., "Disease variant prediction with deep generative models of evolutionary data (EVE)," </w:t>
      </w:r>
      <w:r>
        <w:rPr>
          <w:rFonts w:ascii="Aptos" w:cs="Aptos" w:eastAsia="Aptos" w:hAnsi="Aptos"/>
          <w:b w:val="false"/>
          <w:bCs w:val="false"/>
          <w:i/>
          <w:iCs/>
          <w:color w:val="000000"/>
          <w:sz w:val="24"/>
          <w:szCs w:val="24"/>
        </w:rPr>
        <w:t xml:space="preserve">Nature</w:t>
      </w:r>
      <w:r>
        <w:rPr>
          <w:rFonts w:ascii="Aptos" w:cs="Aptos" w:eastAsia="Aptos" w:hAnsi="Aptos"/>
          <w:b/>
          <w:bCs/>
          <w:i w:val="false"/>
          <w:iCs w:val="false"/>
          <w:color w:val="000000"/>
          <w:sz w:val="24"/>
          <w:szCs w:val="24"/>
        </w:rPr>
        <w:t xml:space="preserve">, 2021.</w:t>
      </w:r>
    </w:p>
    <w:p>
      <w:pPr>
        <w:spacing w:line="276" w:lineRule="auto" w:before="0" w:after="120"/>
        <w:ind w:left="400"/>
        <w:jc w:val="both"/>
      </w:pPr>
      <w:r>
        <w:rPr>
          <w:rFonts w:ascii="Aptos" w:cs="Aptos" w:eastAsia="Aptos" w:hAnsi="Aptos"/>
          <w:b w:val="false"/>
          <w:bCs w:val="false"/>
          <w:i w:val="false"/>
          <w:iCs w:val="false"/>
          <w:color w:val="000000"/>
          <w:sz w:val="24"/>
          <w:szCs w:val="24"/>
        </w:rPr>
        <w:t xml:space="preserve">(i) </w:t>
      </w:r>
      <w:r>
        <w:rPr>
          <w:rFonts w:ascii="Aptos" w:cs="Aptos" w:eastAsia="Aptos" w:hAnsi="Aptos"/>
          <w:b/>
          <w:bCs/>
          <w:i w:val="false"/>
          <w:iCs w:val="false"/>
          <w:color w:val="000000"/>
          <w:sz w:val="24"/>
          <w:szCs w:val="24"/>
        </w:rPr>
        <w:t xml:space="preserve">Problem/Veri: </w:t>
      </w:r>
      <w:r>
        <w:rPr>
          <w:rFonts w:ascii="Aptos" w:cs="Aptos" w:eastAsia="Aptos" w:hAnsi="Aptos"/>
          <w:b w:val="false"/>
          <w:bCs w:val="false"/>
          <w:i w:val="false"/>
          <w:iCs w:val="false"/>
          <w:color w:val="000000"/>
          <w:sz w:val="24"/>
          <w:szCs w:val="24"/>
        </w:rPr>
        <w:t xml:space="preserve">%98'i bilinmeyen öneme sahip protein varyantlarının etiket bağımsız sınıflandırılması.</w:t>
      </w:r>
    </w:p>
    <w:p>
      <w:pPr>
        <w:spacing w:line="276" w:lineRule="auto" w:before="0" w:after="120"/>
        <w:ind w:left="400"/>
        <w:jc w:val="both"/>
      </w:pPr>
      <w:r>
        <w:rPr>
          <w:rFonts w:ascii="Aptos" w:cs="Aptos" w:eastAsia="Aptos" w:hAnsi="Aptos"/>
          <w:b w:val="false"/>
          <w:bCs w:val="false"/>
          <w:i w:val="false"/>
          <w:iCs w:val="false"/>
          <w:color w:val="000000"/>
          <w:sz w:val="24"/>
          <w:szCs w:val="24"/>
        </w:rPr>
        <w:t xml:space="preserve">(ii) </w:t>
      </w:r>
      <w:r>
        <w:rPr>
          <w:rFonts w:ascii="Aptos" w:cs="Aptos" w:eastAsia="Aptos" w:hAnsi="Aptos"/>
          <w:b/>
          <w:bCs/>
          <w:i w:val="false"/>
          <w:iCs w:val="false"/>
          <w:color w:val="000000"/>
          <w:sz w:val="24"/>
          <w:szCs w:val="24"/>
        </w:rPr>
        <w:t xml:space="preserve">Yaklaşım: </w:t>
      </w:r>
      <w:r>
        <w:rPr>
          <w:rFonts w:ascii="Aptos" w:cs="Aptos" w:eastAsia="Aptos" w:hAnsi="Aptos"/>
          <w:b w:val="false"/>
          <w:bCs w:val="false"/>
          <w:i w:val="false"/>
          <w:iCs w:val="false"/>
          <w:color w:val="000000"/>
          <w:sz w:val="24"/>
          <w:szCs w:val="24"/>
        </w:rPr>
        <w:t xml:space="preserve">Gen ailesine özgü Bayesian VAE; çoklu dizi hizalaması üzerinden evrimsel kısıtlar öğrenilmiş, GMM ile kümeleme yapılmıştır.</w:t>
      </w:r>
    </w:p>
    <w:p>
      <w:pPr>
        <w:spacing w:line="276" w:lineRule="auto" w:before="0" w:after="120"/>
        <w:ind w:left="400"/>
        <w:jc w:val="both"/>
      </w:pPr>
      <w:r>
        <w:rPr>
          <w:rFonts w:ascii="Aptos" w:cs="Aptos" w:eastAsia="Aptos" w:hAnsi="Aptos"/>
          <w:b w:val="false"/>
          <w:bCs w:val="false"/>
          <w:i w:val="false"/>
          <w:iCs w:val="false"/>
          <w:color w:val="000000"/>
          <w:sz w:val="24"/>
          <w:szCs w:val="24"/>
        </w:rPr>
        <w:t xml:space="preserve">(iii) </w:t>
      </w:r>
      <w:r>
        <w:rPr>
          <w:rFonts w:ascii="Aptos" w:cs="Aptos" w:eastAsia="Aptos" w:hAnsi="Aptos"/>
          <w:b/>
          <w:bCs/>
          <w:i w:val="false"/>
          <w:iCs w:val="false"/>
          <w:color w:val="000000"/>
          <w:sz w:val="24"/>
          <w:szCs w:val="24"/>
        </w:rPr>
        <w:t xml:space="preserve">Veri Kaynakları: </w:t>
      </w:r>
      <w:r>
        <w:rPr>
          <w:rFonts w:ascii="Aptos" w:cs="Aptos" w:eastAsia="Aptos" w:hAnsi="Aptos"/>
          <w:b w:val="false"/>
          <w:bCs w:val="false"/>
          <w:i w:val="false"/>
          <w:iCs w:val="false"/>
          <w:color w:val="000000"/>
          <w:sz w:val="24"/>
          <w:szCs w:val="24"/>
        </w:rPr>
        <w:t xml:space="preserve">3.219 hastalık geni; çok türlü evrimsel dizi veritabanları.</w:t>
      </w:r>
    </w:p>
    <w:p>
      <w:pPr>
        <w:spacing w:line="276" w:lineRule="auto" w:before="0" w:after="120"/>
        <w:ind w:left="400"/>
        <w:jc w:val="both"/>
      </w:pPr>
      <w:r>
        <w:rPr>
          <w:rFonts w:ascii="Aptos" w:cs="Aptos" w:eastAsia="Aptos" w:hAnsi="Aptos"/>
          <w:b w:val="false"/>
          <w:bCs w:val="false"/>
          <w:i w:val="false"/>
          <w:iCs w:val="false"/>
          <w:color w:val="000000"/>
          <w:sz w:val="24"/>
          <w:szCs w:val="24"/>
        </w:rPr>
        <w:t xml:space="preserve">(iv) </w:t>
      </w:r>
      <w:r>
        <w:rPr>
          <w:rFonts w:ascii="Aptos" w:cs="Aptos" w:eastAsia="Aptos" w:hAnsi="Aptos"/>
          <w:b/>
          <w:bCs/>
          <w:i w:val="false"/>
          <w:iCs w:val="false"/>
          <w:color w:val="000000"/>
          <w:sz w:val="24"/>
          <w:szCs w:val="24"/>
        </w:rPr>
        <w:t xml:space="preserve">Metrikler: </w:t>
      </w:r>
      <w:r>
        <w:rPr>
          <w:rFonts w:ascii="Aptos" w:cs="Aptos" w:eastAsia="Aptos" w:hAnsi="Aptos"/>
          <w:b w:val="false"/>
          <w:bCs w:val="false"/>
          <w:i w:val="false"/>
          <w:iCs w:val="false"/>
          <w:color w:val="000000"/>
          <w:sz w:val="24"/>
          <w:szCs w:val="24"/>
        </w:rPr>
        <w:t xml:space="preserve">36 milyondan fazla varyant için tahmin; denetimli yaklaşımları geride bırakarak yüksek throughput deneylerle eşdeğer performans.</w:t>
      </w:r>
    </w:p>
    <w:p>
      <w:pPr>
        <w:spacing w:line="276" w:lineRule="auto" w:before="0" w:after="120"/>
        <w:ind w:left="400"/>
        <w:jc w:val="both"/>
      </w:pPr>
      <w:r>
        <w:rPr>
          <w:rFonts w:ascii="Aptos" w:cs="Aptos" w:eastAsia="Aptos" w:hAnsi="Aptos"/>
          <w:b w:val="false"/>
          <w:bCs w:val="false"/>
          <w:i w:val="false"/>
          <w:iCs w:val="false"/>
          <w:color w:val="000000"/>
          <w:sz w:val="24"/>
          <w:szCs w:val="24"/>
        </w:rPr>
        <w:t xml:space="preserve">(v) </w:t>
      </w:r>
      <w:r>
        <w:rPr>
          <w:rFonts w:ascii="Aptos" w:cs="Aptos" w:eastAsia="Aptos" w:hAnsi="Aptos"/>
          <w:b/>
          <w:bCs/>
          <w:i w:val="false"/>
          <w:iCs w:val="false"/>
          <w:color w:val="000000"/>
          <w:sz w:val="24"/>
          <w:szCs w:val="24"/>
        </w:rPr>
        <w:t xml:space="preserve">Sınırlılıklar: </w:t>
      </w:r>
      <w:r>
        <w:rPr>
          <w:rFonts w:ascii="Aptos" w:cs="Aptos" w:eastAsia="Aptos" w:hAnsi="Aptos"/>
          <w:b w:val="false"/>
          <w:bCs w:val="false"/>
          <w:i w:val="false"/>
          <w:iCs w:val="false"/>
          <w:color w:val="000000"/>
          <w:sz w:val="24"/>
          <w:szCs w:val="24"/>
        </w:rPr>
        <w:t xml:space="preserve">Her gen için ayrı model eğitimi yüksek hesaplama maliyeti gerektirmektedir; az temsil edilen genler için yetersiz MSA derinliği kritik sınırlamadır.</w:t>
      </w:r>
    </w:p>
    <w:p>
      <w:pPr>
        <w:spacing w:line="276" w:lineRule="auto" w:before="0" w:after="120"/>
        <w:jc w:val="both"/>
      </w:pPr>
      <w:r>
        <w:rPr>
          <w:rFonts w:ascii="Aptos" w:cs="Aptos" w:eastAsia="Aptos" w:hAnsi="Aptos"/>
          <w:b/>
          <w:bCs/>
          <w:i w:val="false"/>
          <w:iCs w:val="false"/>
          <w:color w:val="000000"/>
          <w:sz w:val="24"/>
          <w:szCs w:val="24"/>
        </w:rPr>
        <w:t xml:space="preserve">Konumlama: </w:t>
      </w:r>
      <w:r>
        <w:rPr>
          <w:rFonts w:ascii="Aptos" w:cs="Aptos" w:eastAsia="Aptos" w:hAnsi="Aptos"/>
          <w:b w:val="false"/>
          <w:bCs w:val="false"/>
          <w:i w:val="false"/>
          <w:iCs w:val="false"/>
          <w:color w:val="000000"/>
          <w:sz w:val="24"/>
          <w:szCs w:val="24"/>
        </w:rPr>
        <w:t xml:space="preserve">EVE, etiket bağımlılığından kaçınan denetimsiz yaklaşımın üst sınırını göstermektedir. Biz ise zengin etiketli ClinVar verisiyle denetimli panel-uzman tasarımını tercih ettik; bu seçimin gerekçesi Bölüm 5.2'de ele alınmıştır.</w:t>
      </w:r>
    </w:p>
    <w:p>
      <w:pPr>
        <w:spacing w:line="276" w:after="0" w:before="0"/>
      </w:pPr>
      <w:r>
        <w:rPr>
          <w:rFonts w:ascii="Aptos" w:cs="Aptos" w:eastAsia="Aptos" w:hAnsi="Aptos"/>
          <w:b w:val="false"/>
          <w:bCs w:val="false"/>
          <w:i w:val="false"/>
          <w:iCs w:val="false"/>
          <w:color w:val="000000"/>
          <w:sz w:val="24"/>
          <w:szCs w:val="24"/>
        </w:rPr>
        <w:t xml:space="preserve"/>
      </w:r>
    </w:p>
    <w:p>
      <w:pPr>
        <w:spacing w:line="276" w:lineRule="auto" w:before="0" w:after="120"/>
        <w:jc w:val="both"/>
      </w:pPr>
      <w:r>
        <w:rPr>
          <w:rFonts w:ascii="Aptos" w:cs="Aptos" w:eastAsia="Aptos" w:hAnsi="Aptos"/>
          <w:b/>
          <w:bCs/>
          <w:i w:val="false"/>
          <w:iCs w:val="false"/>
          <w:color w:val="000000"/>
          <w:sz w:val="24"/>
          <w:szCs w:val="24"/>
        </w:rPr>
        <w:t xml:space="preserve">[5] Katsonis et al., "Gene-specific machine learning for pathogenicity prediction of rare BRCA1/2 missense variants," </w:t>
      </w:r>
      <w:r>
        <w:rPr>
          <w:rFonts w:ascii="Aptos" w:cs="Aptos" w:eastAsia="Aptos" w:hAnsi="Aptos"/>
          <w:b w:val="false"/>
          <w:bCs w:val="false"/>
          <w:i/>
          <w:iCs/>
          <w:color w:val="000000"/>
          <w:sz w:val="24"/>
          <w:szCs w:val="24"/>
        </w:rPr>
        <w:t xml:space="preserve">Sci. Rep.</w:t>
      </w:r>
      <w:r>
        <w:rPr>
          <w:rFonts w:ascii="Aptos" w:cs="Aptos" w:eastAsia="Aptos" w:hAnsi="Aptos"/>
          <w:b/>
          <w:bCs/>
          <w:i w:val="false"/>
          <w:iCs w:val="false"/>
          <w:color w:val="000000"/>
          <w:sz w:val="24"/>
          <w:szCs w:val="24"/>
        </w:rPr>
        <w:t xml:space="preserve">, 2023.</w:t>
      </w:r>
    </w:p>
    <w:p>
      <w:pPr>
        <w:spacing w:line="276" w:lineRule="auto" w:before="0" w:after="120"/>
        <w:ind w:left="400"/>
        <w:jc w:val="both"/>
      </w:pPr>
      <w:r>
        <w:rPr>
          <w:rFonts w:ascii="Aptos" w:cs="Aptos" w:eastAsia="Aptos" w:hAnsi="Aptos"/>
          <w:b w:val="false"/>
          <w:bCs w:val="false"/>
          <w:i w:val="false"/>
          <w:iCs w:val="false"/>
          <w:color w:val="000000"/>
          <w:sz w:val="24"/>
          <w:szCs w:val="24"/>
        </w:rPr>
        <w:t xml:space="preserve">(i) </w:t>
      </w:r>
      <w:r>
        <w:rPr>
          <w:rFonts w:ascii="Aptos" w:cs="Aptos" w:eastAsia="Aptos" w:hAnsi="Aptos"/>
          <w:b/>
          <w:bCs/>
          <w:i w:val="false"/>
          <w:iCs w:val="false"/>
          <w:color w:val="000000"/>
          <w:sz w:val="24"/>
          <w:szCs w:val="24"/>
        </w:rPr>
        <w:t xml:space="preserve">Problem/Veri: </w:t>
      </w:r>
      <w:r>
        <w:rPr>
          <w:rFonts w:ascii="Aptos" w:cs="Aptos" w:eastAsia="Aptos" w:hAnsi="Aptos"/>
          <w:b w:val="false"/>
          <w:bCs w:val="false"/>
          <w:i w:val="false"/>
          <w:iCs w:val="false"/>
          <w:color w:val="000000"/>
          <w:sz w:val="24"/>
          <w:szCs w:val="24"/>
        </w:rPr>
        <w:t xml:space="preserve">31 herediter kanser geninde panel-özgü missense sınıflandırması (1.068 nadir varyant, gnomAD AF &lt; 0.005).</w:t>
      </w:r>
    </w:p>
    <w:p>
      <w:pPr>
        <w:spacing w:line="276" w:lineRule="auto" w:before="0" w:after="120"/>
        <w:ind w:left="400"/>
        <w:jc w:val="both"/>
      </w:pPr>
      <w:r>
        <w:rPr>
          <w:rFonts w:ascii="Aptos" w:cs="Aptos" w:eastAsia="Aptos" w:hAnsi="Aptos"/>
          <w:b w:val="false"/>
          <w:bCs w:val="false"/>
          <w:i w:val="false"/>
          <w:iCs w:val="false"/>
          <w:color w:val="000000"/>
          <w:sz w:val="24"/>
          <w:szCs w:val="24"/>
        </w:rPr>
        <w:t xml:space="preserve">(ii) </w:t>
      </w:r>
      <w:r>
        <w:rPr>
          <w:rFonts w:ascii="Aptos" w:cs="Aptos" w:eastAsia="Aptos" w:hAnsi="Aptos"/>
          <w:b/>
          <w:bCs/>
          <w:i w:val="false"/>
          <w:iCs w:val="false"/>
          <w:color w:val="000000"/>
          <w:sz w:val="24"/>
          <w:szCs w:val="24"/>
        </w:rPr>
        <w:t xml:space="preserve">Yaklaşım: </w:t>
      </w:r>
      <w:r>
        <w:rPr>
          <w:rFonts w:ascii="Aptos" w:cs="Aptos" w:eastAsia="Aptos" w:hAnsi="Aptos"/>
          <w:b w:val="false"/>
          <w:bCs w:val="false"/>
          <w:i w:val="false"/>
          <w:iCs w:val="false"/>
          <w:color w:val="000000"/>
          <w:sz w:val="24"/>
          <w:szCs w:val="24"/>
        </w:rPr>
        <w:t xml:space="preserve">Ridge, lasso, XGBoost, DNN dahil 8 ML yöntemi karşılaştırılmış; gen-özgü modeller genome-wide REVEL/BayesDel ile kıyaslanmıştır. Dengesiz veri için AUPRC kullanılmıştır.</w:t>
      </w:r>
    </w:p>
    <w:p>
      <w:pPr>
        <w:spacing w:line="276" w:lineRule="auto" w:before="0" w:after="120"/>
        <w:ind w:left="400"/>
        <w:jc w:val="both"/>
      </w:pPr>
      <w:r>
        <w:rPr>
          <w:rFonts w:ascii="Aptos" w:cs="Aptos" w:eastAsia="Aptos" w:hAnsi="Aptos"/>
          <w:b w:val="false"/>
          <w:bCs w:val="false"/>
          <w:i w:val="false"/>
          <w:iCs w:val="false"/>
          <w:color w:val="000000"/>
          <w:sz w:val="24"/>
          <w:szCs w:val="24"/>
        </w:rPr>
        <w:t xml:space="preserve">(iii) </w:t>
      </w:r>
      <w:r>
        <w:rPr>
          <w:rFonts w:ascii="Aptos" w:cs="Aptos" w:eastAsia="Aptos" w:hAnsi="Aptos"/>
          <w:b/>
          <w:bCs/>
          <w:i w:val="false"/>
          <w:iCs w:val="false"/>
          <w:color w:val="000000"/>
          <w:sz w:val="24"/>
          <w:szCs w:val="24"/>
        </w:rPr>
        <w:t xml:space="preserve">Veri Kaynakları: </w:t>
      </w:r>
      <w:r>
        <w:rPr>
          <w:rFonts w:ascii="Aptos" w:cs="Aptos" w:eastAsia="Aptos" w:hAnsi="Aptos"/>
          <w:b w:val="false"/>
          <w:bCs w:val="false"/>
          <w:i w:val="false"/>
          <w:iCs w:val="false"/>
          <w:color w:val="000000"/>
          <w:sz w:val="24"/>
          <w:szCs w:val="24"/>
        </w:rPr>
        <w:t xml:space="preserve">ClinVar; gnomAD allel frekansı filtresi.</w:t>
      </w:r>
    </w:p>
    <w:p>
      <w:pPr>
        <w:spacing w:line="276" w:lineRule="auto" w:before="0" w:after="120"/>
        <w:ind w:left="400"/>
        <w:jc w:val="both"/>
      </w:pPr>
      <w:r>
        <w:rPr>
          <w:rFonts w:ascii="Aptos" w:cs="Aptos" w:eastAsia="Aptos" w:hAnsi="Aptos"/>
          <w:b w:val="false"/>
          <w:bCs w:val="false"/>
          <w:i w:val="false"/>
          <w:iCs w:val="false"/>
          <w:color w:val="000000"/>
          <w:sz w:val="24"/>
          <w:szCs w:val="24"/>
        </w:rPr>
        <w:t xml:space="preserve">(iv) </w:t>
      </w:r>
      <w:r>
        <w:rPr>
          <w:rFonts w:ascii="Aptos" w:cs="Aptos" w:eastAsia="Aptos" w:hAnsi="Aptos"/>
          <w:b/>
          <w:bCs/>
          <w:i w:val="false"/>
          <w:iCs w:val="false"/>
          <w:color w:val="000000"/>
          <w:sz w:val="24"/>
          <w:szCs w:val="24"/>
        </w:rPr>
        <w:t xml:space="preserve">Metrikler: </w:t>
      </w:r>
      <w:r>
        <w:rPr>
          <w:rFonts w:ascii="Aptos" w:cs="Aptos" w:eastAsia="Aptos" w:hAnsi="Aptos"/>
          <w:b w:val="false"/>
          <w:bCs w:val="false"/>
          <w:i w:val="false"/>
          <w:iCs w:val="false"/>
          <w:color w:val="000000"/>
          <w:sz w:val="24"/>
          <w:szCs w:val="24"/>
        </w:rPr>
        <w:t xml:space="preserve">Gen-özgü modeller, genome-wide yaklaşımları AUPRC metriğinde istatistiksel olarak geride bırakmıştır.</w:t>
      </w:r>
    </w:p>
    <w:p>
      <w:pPr>
        <w:spacing w:line="276" w:lineRule="auto" w:before="0" w:after="120"/>
        <w:ind w:left="400"/>
        <w:jc w:val="both"/>
      </w:pPr>
      <w:r>
        <w:rPr>
          <w:rFonts w:ascii="Aptos" w:cs="Aptos" w:eastAsia="Aptos" w:hAnsi="Aptos"/>
          <w:b w:val="false"/>
          <w:bCs w:val="false"/>
          <w:i w:val="false"/>
          <w:iCs w:val="false"/>
          <w:color w:val="000000"/>
          <w:sz w:val="24"/>
          <w:szCs w:val="24"/>
        </w:rPr>
        <w:t xml:space="preserve">(v) </w:t>
      </w:r>
      <w:r>
        <w:rPr>
          <w:rFonts w:ascii="Aptos" w:cs="Aptos" w:eastAsia="Aptos" w:hAnsi="Aptos"/>
          <w:b/>
          <w:bCs/>
          <w:i w:val="false"/>
          <w:iCs w:val="false"/>
          <w:color w:val="000000"/>
          <w:sz w:val="24"/>
          <w:szCs w:val="24"/>
        </w:rPr>
        <w:t xml:space="preserve">Sınırlılıklar: </w:t>
      </w:r>
      <w:r>
        <w:rPr>
          <w:rFonts w:ascii="Aptos" w:cs="Aptos" w:eastAsia="Aptos" w:hAnsi="Aptos"/>
          <w:b w:val="false"/>
          <w:bCs w:val="false"/>
          <w:i w:val="false"/>
          <w:iCs w:val="false"/>
          <w:color w:val="000000"/>
          <w:sz w:val="24"/>
          <w:szCs w:val="24"/>
        </w:rPr>
        <w:t xml:space="preserve">Gen-özgü eğitim örnek sayısını kısıtlamakta; modelin diğer genlere genellenebilirliği sınırlıdır.</w:t>
      </w:r>
    </w:p>
    <w:p>
      <w:pPr>
        <w:spacing w:line="276" w:lineRule="auto" w:before="0" w:after="120"/>
        <w:jc w:val="both"/>
      </w:pPr>
      <w:r>
        <w:rPr>
          <w:rFonts w:ascii="Aptos" w:cs="Aptos" w:eastAsia="Aptos" w:hAnsi="Aptos"/>
          <w:b/>
          <w:bCs/>
          <w:i w:val="false"/>
          <w:iCs w:val="false"/>
          <w:color w:val="000000"/>
          <w:sz w:val="24"/>
          <w:szCs w:val="24"/>
        </w:rPr>
        <w:t xml:space="preserve">Konumlama: </w:t>
      </w:r>
      <w:r>
        <w:rPr>
          <w:rFonts w:ascii="Aptos" w:cs="Aptos" w:eastAsia="Aptos" w:hAnsi="Aptos"/>
          <w:b w:val="false"/>
          <w:bCs w:val="false"/>
          <w:i w:val="false"/>
          <w:iCs w:val="false"/>
          <w:color w:val="000000"/>
          <w:sz w:val="24"/>
          <w:szCs w:val="24"/>
        </w:rPr>
        <w:t xml:space="preserve">Bu çalışma, BRCA/Kanser, PAH ve CFTR için ayrı uzman modelinin gerekliliğini doğrudan desteklemekte ve MoE mimarimizin panel-aware tasarımının biyoinformatik dayanağını oluşturmaktadır.</w:t>
      </w:r>
    </w:p>
    <w:p>
      <w:pPr>
        <w:spacing w:line="276" w:after="0" w:before="0"/>
      </w:pPr>
      <w:r>
        <w:rPr>
          <w:rFonts w:ascii="Aptos" w:cs="Aptos" w:eastAsia="Aptos" w:hAnsi="Aptos"/>
          <w:b w:val="false"/>
          <w:bCs w:val="false"/>
          <w:i w:val="false"/>
          <w:iCs w:val="false"/>
          <w:color w:val="000000"/>
          <w:sz w:val="24"/>
          <w:szCs w:val="24"/>
        </w:rPr>
        <w:t xml:space="preserve"/>
      </w:r>
    </w:p>
    <w:p>
      <w:pPr>
        <w:spacing w:line="276" w:lineRule="auto" w:before="0" w:after="120"/>
        <w:jc w:val="both"/>
      </w:pPr>
      <w:r>
        <w:rPr>
          <w:rFonts w:ascii="Aptos" w:cs="Aptos" w:eastAsia="Aptos" w:hAnsi="Aptos"/>
          <w:b/>
          <w:bCs/>
          <w:i w:val="false"/>
          <w:iCs w:val="false"/>
          <w:color w:val="000000"/>
          <w:sz w:val="24"/>
          <w:szCs w:val="24"/>
        </w:rPr>
        <w:t xml:space="preserve">[6] Lundberg &amp; Lee, "A Unified Approach to Interpreting Model Predictions (SHAP)," </w:t>
      </w:r>
      <w:r>
        <w:rPr>
          <w:rFonts w:ascii="Aptos" w:cs="Aptos" w:eastAsia="Aptos" w:hAnsi="Aptos"/>
          <w:b w:val="false"/>
          <w:bCs w:val="false"/>
          <w:i/>
          <w:iCs/>
          <w:color w:val="000000"/>
          <w:sz w:val="24"/>
          <w:szCs w:val="24"/>
        </w:rPr>
        <w:t xml:space="preserve">NeurIPS</w:t>
      </w:r>
      <w:r>
        <w:rPr>
          <w:rFonts w:ascii="Aptos" w:cs="Aptos" w:eastAsia="Aptos" w:hAnsi="Aptos"/>
          <w:b/>
          <w:bCs/>
          <w:i w:val="false"/>
          <w:iCs w:val="false"/>
          <w:color w:val="000000"/>
          <w:sz w:val="24"/>
          <w:szCs w:val="24"/>
        </w:rPr>
        <w:t xml:space="preserve">, 2017.</w:t>
      </w:r>
    </w:p>
    <w:p>
      <w:pPr>
        <w:spacing w:line="276" w:lineRule="auto" w:before="0" w:after="120"/>
        <w:ind w:left="400"/>
        <w:jc w:val="both"/>
      </w:pPr>
      <w:r>
        <w:rPr>
          <w:rFonts w:ascii="Aptos" w:cs="Aptos" w:eastAsia="Aptos" w:hAnsi="Aptos"/>
          <w:b w:val="false"/>
          <w:bCs w:val="false"/>
          <w:i w:val="false"/>
          <w:iCs w:val="false"/>
          <w:color w:val="000000"/>
          <w:sz w:val="24"/>
          <w:szCs w:val="24"/>
        </w:rPr>
        <w:t xml:space="preserve">(i) </w:t>
      </w:r>
      <w:r>
        <w:rPr>
          <w:rFonts w:ascii="Aptos" w:cs="Aptos" w:eastAsia="Aptos" w:hAnsi="Aptos"/>
          <w:b/>
          <w:bCs/>
          <w:i w:val="false"/>
          <w:iCs w:val="false"/>
          <w:color w:val="000000"/>
          <w:sz w:val="24"/>
          <w:szCs w:val="24"/>
        </w:rPr>
        <w:t xml:space="preserve">Problem/Veri: </w:t>
      </w:r>
      <w:r>
        <w:rPr>
          <w:rFonts w:ascii="Aptos" w:cs="Aptos" w:eastAsia="Aptos" w:hAnsi="Aptos"/>
          <w:b w:val="false"/>
          <w:bCs w:val="false"/>
          <w:i w:val="false"/>
          <w:iCs w:val="false"/>
          <w:color w:val="000000"/>
          <w:sz w:val="24"/>
          <w:szCs w:val="24"/>
        </w:rPr>
        <w:t xml:space="preserve">Herhangi bir ML modelinin bireysel tahmin kararlarının özellik katkıları üzerinden açıklanabilir hâle getirilmesi.</w:t>
      </w:r>
    </w:p>
    <w:p>
      <w:pPr>
        <w:spacing w:line="276" w:lineRule="auto" w:before="0" w:after="120"/>
        <w:ind w:left="400"/>
        <w:jc w:val="both"/>
      </w:pPr>
      <w:r>
        <w:rPr>
          <w:rFonts w:ascii="Aptos" w:cs="Aptos" w:eastAsia="Aptos" w:hAnsi="Aptos"/>
          <w:b w:val="false"/>
          <w:bCs w:val="false"/>
          <w:i w:val="false"/>
          <w:iCs w:val="false"/>
          <w:color w:val="000000"/>
          <w:sz w:val="24"/>
          <w:szCs w:val="24"/>
        </w:rPr>
        <w:t xml:space="preserve">(ii) </w:t>
      </w:r>
      <w:r>
        <w:rPr>
          <w:rFonts w:ascii="Aptos" w:cs="Aptos" w:eastAsia="Aptos" w:hAnsi="Aptos"/>
          <w:b/>
          <w:bCs/>
          <w:i w:val="false"/>
          <w:iCs w:val="false"/>
          <w:color w:val="000000"/>
          <w:sz w:val="24"/>
          <w:szCs w:val="24"/>
        </w:rPr>
        <w:t xml:space="preserve">Yaklaşım: </w:t>
      </w:r>
      <w:r>
        <w:rPr>
          <w:rFonts w:ascii="Aptos" w:cs="Aptos" w:eastAsia="Aptos" w:hAnsi="Aptos"/>
          <w:b w:val="false"/>
          <w:bCs w:val="false"/>
          <w:i w:val="false"/>
          <w:iCs w:val="false"/>
          <w:color w:val="000000"/>
          <w:sz w:val="24"/>
          <w:szCs w:val="24"/>
        </w:rPr>
        <w:t xml:space="preserve">Shapley değerleri teorisine dayanan TreeSHAP (ağaç tabanlı modeller için polinom zamanlı tam çözüm) ve DeepSHAP (derin ağlar için yaklaşık çözüm).</w:t>
      </w:r>
    </w:p>
    <w:p>
      <w:pPr>
        <w:spacing w:line="276" w:lineRule="auto" w:before="0" w:after="120"/>
        <w:ind w:left="400"/>
        <w:jc w:val="both"/>
      </w:pPr>
      <w:r>
        <w:rPr>
          <w:rFonts w:ascii="Aptos" w:cs="Aptos" w:eastAsia="Aptos" w:hAnsi="Aptos"/>
          <w:b w:val="false"/>
          <w:bCs w:val="false"/>
          <w:i w:val="false"/>
          <w:iCs w:val="false"/>
          <w:color w:val="000000"/>
          <w:sz w:val="24"/>
          <w:szCs w:val="24"/>
        </w:rPr>
        <w:t xml:space="preserve">(iii) </w:t>
      </w:r>
      <w:r>
        <w:rPr>
          <w:rFonts w:ascii="Aptos" w:cs="Aptos" w:eastAsia="Aptos" w:hAnsi="Aptos"/>
          <w:b/>
          <w:bCs/>
          <w:i w:val="false"/>
          <w:iCs w:val="false"/>
          <w:color w:val="000000"/>
          <w:sz w:val="24"/>
          <w:szCs w:val="24"/>
        </w:rPr>
        <w:t xml:space="preserve">Veri Kaynakları: </w:t>
      </w:r>
      <w:r>
        <w:rPr>
          <w:rFonts w:ascii="Aptos" w:cs="Aptos" w:eastAsia="Aptos" w:hAnsi="Aptos"/>
          <w:b w:val="false"/>
          <w:bCs w:val="false"/>
          <w:i w:val="false"/>
          <w:iCs w:val="false"/>
          <w:color w:val="000000"/>
          <w:sz w:val="24"/>
          <w:szCs w:val="24"/>
        </w:rPr>
        <w:t xml:space="preserve">Framework-agnostik; ikili sınıflandırma dahil her ML görevine uygulanabilir.</w:t>
      </w:r>
    </w:p>
    <w:p>
      <w:pPr>
        <w:spacing w:line="276" w:lineRule="auto" w:before="0" w:after="120"/>
        <w:ind w:left="400"/>
        <w:jc w:val="both"/>
      </w:pPr>
      <w:r>
        <w:rPr>
          <w:rFonts w:ascii="Aptos" w:cs="Aptos" w:eastAsia="Aptos" w:hAnsi="Aptos"/>
          <w:b w:val="false"/>
          <w:bCs w:val="false"/>
          <w:i w:val="false"/>
          <w:iCs w:val="false"/>
          <w:color w:val="000000"/>
          <w:sz w:val="24"/>
          <w:szCs w:val="24"/>
        </w:rPr>
        <w:t xml:space="preserve">(iv) </w:t>
      </w:r>
      <w:r>
        <w:rPr>
          <w:rFonts w:ascii="Aptos" w:cs="Aptos" w:eastAsia="Aptos" w:hAnsi="Aptos"/>
          <w:b/>
          <w:bCs/>
          <w:i w:val="false"/>
          <w:iCs w:val="false"/>
          <w:color w:val="000000"/>
          <w:sz w:val="24"/>
          <w:szCs w:val="24"/>
        </w:rPr>
        <w:t xml:space="preserve">Metrikler: </w:t>
      </w:r>
      <w:r>
        <w:rPr>
          <w:rFonts w:ascii="Aptos" w:cs="Aptos" w:eastAsia="Aptos" w:hAnsi="Aptos"/>
          <w:b w:val="false"/>
          <w:bCs w:val="false"/>
          <w:i w:val="false"/>
          <w:iCs w:val="false"/>
          <w:color w:val="000000"/>
          <w:sz w:val="24"/>
          <w:szCs w:val="24"/>
        </w:rPr>
        <w:t xml:space="preserve">Tutarlılık ve yerellik aksiyomlarını karşılayan tek yaklaşım olarak ispatlanmıştır.</w:t>
      </w:r>
    </w:p>
    <w:p>
      <w:pPr>
        <w:spacing w:line="276" w:lineRule="auto" w:before="0" w:after="120"/>
        <w:ind w:left="400"/>
        <w:jc w:val="both"/>
      </w:pPr>
      <w:r>
        <w:rPr>
          <w:rFonts w:ascii="Aptos" w:cs="Aptos" w:eastAsia="Aptos" w:hAnsi="Aptos"/>
          <w:b w:val="false"/>
          <w:bCs w:val="false"/>
          <w:i w:val="false"/>
          <w:iCs w:val="false"/>
          <w:color w:val="000000"/>
          <w:sz w:val="24"/>
          <w:szCs w:val="24"/>
        </w:rPr>
        <w:t xml:space="preserve">(v) </w:t>
      </w:r>
      <w:r>
        <w:rPr>
          <w:rFonts w:ascii="Aptos" w:cs="Aptos" w:eastAsia="Aptos" w:hAnsi="Aptos"/>
          <w:b/>
          <w:bCs/>
          <w:i w:val="false"/>
          <w:iCs w:val="false"/>
          <w:color w:val="000000"/>
          <w:sz w:val="24"/>
          <w:szCs w:val="24"/>
        </w:rPr>
        <w:t xml:space="preserve">Sınırlılıklar: </w:t>
      </w:r>
      <w:r>
        <w:rPr>
          <w:rFonts w:ascii="Aptos" w:cs="Aptos" w:eastAsia="Aptos" w:hAnsi="Aptos"/>
          <w:b w:val="false"/>
          <w:bCs w:val="false"/>
          <w:i w:val="false"/>
          <w:iCs w:val="false"/>
          <w:color w:val="000000"/>
          <w:sz w:val="24"/>
          <w:szCs w:val="24"/>
        </w:rPr>
        <w:t xml:space="preserve">Özellik korelasyonu durumunda Shapley değerlerinin yorumlanması güçleşmektedir; DeepSHAP yaklaşık kalmaktadır.</w:t>
      </w:r>
    </w:p>
    <w:p>
      <w:pPr>
        <w:spacing w:line="276" w:lineRule="auto" w:before="0" w:after="120"/>
        <w:jc w:val="both"/>
      </w:pPr>
      <w:r>
        <w:rPr>
          <w:rFonts w:ascii="Aptos" w:cs="Aptos" w:eastAsia="Aptos" w:hAnsi="Aptos"/>
          <w:b/>
          <w:bCs/>
          <w:i w:val="false"/>
          <w:iCs w:val="false"/>
          <w:color w:val="000000"/>
          <w:sz w:val="24"/>
          <w:szCs w:val="24"/>
        </w:rPr>
        <w:t xml:space="preserve">Konumlama: </w:t>
      </w:r>
      <w:r>
        <w:rPr>
          <w:rFonts w:ascii="Aptos" w:cs="Aptos" w:eastAsia="Aptos" w:hAnsi="Aptos"/>
          <w:b w:val="false"/>
          <w:bCs w:val="false"/>
          <w:i w:val="false"/>
          <w:iCs w:val="false"/>
          <w:color w:val="000000"/>
          <w:sz w:val="24"/>
          <w:szCs w:val="24"/>
        </w:rPr>
        <w:t xml:space="preserve">TreeSHAP (CatBoost uzmanları) ve DeepSHAP (CNN kolu) modelimize entegre edilmiştir. Kolon isimleri gizli olduğundan açıklama dili özellik grupları düzeyinde tutulmuştur.</w:t>
      </w:r>
    </w:p>
    <w:p>
      <w:pPr>
        <w:spacing w:line="276" w:after="0" w:before="0"/>
      </w:pPr>
      <w:r>
        <w:rPr>
          <w:rFonts w:ascii="Aptos" w:cs="Aptos" w:eastAsia="Aptos" w:hAnsi="Aptos"/>
          <w:b w:val="false"/>
          <w:bCs w:val="false"/>
          <w:i w:val="false"/>
          <w:iCs w:val="false"/>
          <w:color w:val="000000"/>
          <w:sz w:val="24"/>
          <w:szCs w:val="24"/>
        </w:rPr>
        <w:t xml:space="preserve"/>
      </w:r>
    </w:p>
    <w:p>
      <w:pPr>
        <w:spacing w:line="276" w:lineRule="auto" w:before="0" w:after="120"/>
        <w:jc w:val="both"/>
      </w:pPr>
      <w:r>
        <w:rPr>
          <w:rFonts w:ascii="Aptos" w:cs="Aptos" w:eastAsia="Aptos" w:hAnsi="Aptos"/>
          <w:b/>
          <w:bCs/>
          <w:i w:val="false"/>
          <w:iCs w:val="false"/>
          <w:color w:val="000000"/>
          <w:sz w:val="24"/>
          <w:szCs w:val="24"/>
        </w:rPr>
        <w:t xml:space="preserve">[7] Karczewski et al., "The mutational constraint spectrum from variation in 141,456 humans," </w:t>
      </w:r>
      <w:r>
        <w:rPr>
          <w:rFonts w:ascii="Aptos" w:cs="Aptos" w:eastAsia="Aptos" w:hAnsi="Aptos"/>
          <w:b w:val="false"/>
          <w:bCs w:val="false"/>
          <w:i/>
          <w:iCs/>
          <w:color w:val="000000"/>
          <w:sz w:val="24"/>
          <w:szCs w:val="24"/>
        </w:rPr>
        <w:t xml:space="preserve">Nature</w:t>
      </w:r>
      <w:r>
        <w:rPr>
          <w:rFonts w:ascii="Aptos" w:cs="Aptos" w:eastAsia="Aptos" w:hAnsi="Aptos"/>
          <w:b/>
          <w:bCs/>
          <w:i w:val="false"/>
          <w:iCs w:val="false"/>
          <w:color w:val="000000"/>
          <w:sz w:val="24"/>
          <w:szCs w:val="24"/>
        </w:rPr>
        <w:t xml:space="preserve">, 2020.</w:t>
      </w:r>
    </w:p>
    <w:p>
      <w:pPr>
        <w:spacing w:line="276" w:lineRule="auto" w:before="0" w:after="120"/>
        <w:ind w:left="400"/>
        <w:jc w:val="both"/>
      </w:pPr>
      <w:r>
        <w:rPr>
          <w:rFonts w:ascii="Aptos" w:cs="Aptos" w:eastAsia="Aptos" w:hAnsi="Aptos"/>
          <w:b w:val="false"/>
          <w:bCs w:val="false"/>
          <w:i w:val="false"/>
          <w:iCs w:val="false"/>
          <w:color w:val="000000"/>
          <w:sz w:val="24"/>
          <w:szCs w:val="24"/>
        </w:rPr>
        <w:t xml:space="preserve">(i) </w:t>
      </w:r>
      <w:r>
        <w:rPr>
          <w:rFonts w:ascii="Aptos" w:cs="Aptos" w:eastAsia="Aptos" w:hAnsi="Aptos"/>
          <w:b/>
          <w:bCs/>
          <w:i w:val="false"/>
          <w:iCs w:val="false"/>
          <w:color w:val="000000"/>
          <w:sz w:val="24"/>
          <w:szCs w:val="24"/>
        </w:rPr>
        <w:t xml:space="preserve">Problem/Veri: </w:t>
      </w:r>
      <w:r>
        <w:rPr>
          <w:rFonts w:ascii="Aptos" w:cs="Aptos" w:eastAsia="Aptos" w:hAnsi="Aptos"/>
          <w:b w:val="false"/>
          <w:bCs w:val="false"/>
          <w:i w:val="false"/>
          <w:iCs w:val="false"/>
          <w:color w:val="000000"/>
          <w:sz w:val="24"/>
          <w:szCs w:val="24"/>
        </w:rPr>
        <w:t xml:space="preserve">141.456 bireyde insan ekzom/genom varyasyonunun popülasyon düzeyinde haritalanması.</w:t>
      </w:r>
    </w:p>
    <w:p>
      <w:pPr>
        <w:spacing w:line="276" w:lineRule="auto" w:before="0" w:after="120"/>
        <w:ind w:left="400"/>
        <w:jc w:val="both"/>
      </w:pPr>
      <w:r>
        <w:rPr>
          <w:rFonts w:ascii="Aptos" w:cs="Aptos" w:eastAsia="Aptos" w:hAnsi="Aptos"/>
          <w:b w:val="false"/>
          <w:bCs w:val="false"/>
          <w:i w:val="false"/>
          <w:iCs w:val="false"/>
          <w:color w:val="000000"/>
          <w:sz w:val="24"/>
          <w:szCs w:val="24"/>
        </w:rPr>
        <w:t xml:space="preserve">(ii) </w:t>
      </w:r>
      <w:r>
        <w:rPr>
          <w:rFonts w:ascii="Aptos" w:cs="Aptos" w:eastAsia="Aptos" w:hAnsi="Aptos"/>
          <w:b/>
          <w:bCs/>
          <w:i w:val="false"/>
          <w:iCs w:val="false"/>
          <w:color w:val="000000"/>
          <w:sz w:val="24"/>
          <w:szCs w:val="24"/>
        </w:rPr>
        <w:t xml:space="preserve">Yaklaşım: </w:t>
      </w:r>
      <w:r>
        <w:rPr>
          <w:rFonts w:ascii="Aptos" w:cs="Aptos" w:eastAsia="Aptos" w:hAnsi="Aptos"/>
          <w:b w:val="false"/>
          <w:bCs w:val="false"/>
          <w:i w:val="false"/>
          <w:iCs w:val="false"/>
          <w:color w:val="000000"/>
          <w:sz w:val="24"/>
          <w:szCs w:val="24"/>
        </w:rPr>
        <w:t xml:space="preserve">Geniş çaplı popülasyon örneklemesi; missense tolerans puanları (pLI, Z-skoru) hesaplaması; allel frekansı kataloglaması.</w:t>
      </w:r>
    </w:p>
    <w:p>
      <w:pPr>
        <w:spacing w:line="276" w:lineRule="auto" w:before="0" w:after="120"/>
        <w:ind w:left="400"/>
        <w:jc w:val="both"/>
      </w:pPr>
      <w:r>
        <w:rPr>
          <w:rFonts w:ascii="Aptos" w:cs="Aptos" w:eastAsia="Aptos" w:hAnsi="Aptos"/>
          <w:b w:val="false"/>
          <w:bCs w:val="false"/>
          <w:i w:val="false"/>
          <w:iCs w:val="false"/>
          <w:color w:val="000000"/>
          <w:sz w:val="24"/>
          <w:szCs w:val="24"/>
        </w:rPr>
        <w:t xml:space="preserve">(iii) </w:t>
      </w:r>
      <w:r>
        <w:rPr>
          <w:rFonts w:ascii="Aptos" w:cs="Aptos" w:eastAsia="Aptos" w:hAnsi="Aptos"/>
          <w:b/>
          <w:bCs/>
          <w:i w:val="false"/>
          <w:iCs w:val="false"/>
          <w:color w:val="000000"/>
          <w:sz w:val="24"/>
          <w:szCs w:val="24"/>
        </w:rPr>
        <w:t xml:space="preserve">Veri Kaynakları: </w:t>
      </w:r>
      <w:r>
        <w:rPr>
          <w:rFonts w:ascii="Aptos" w:cs="Aptos" w:eastAsia="Aptos" w:hAnsi="Aptos"/>
          <w:b w:val="false"/>
          <w:bCs w:val="false"/>
          <w:i w:val="false"/>
          <w:iCs w:val="false"/>
          <w:color w:val="000000"/>
          <w:sz w:val="24"/>
          <w:szCs w:val="24"/>
        </w:rPr>
        <w:t xml:space="preserve">gnomAD v2.1; çok etnik popülasyon (AFR, AMR, EAS, NFE, SAS).</w:t>
      </w:r>
    </w:p>
    <w:p>
      <w:pPr>
        <w:spacing w:line="276" w:lineRule="auto" w:before="0" w:after="120"/>
        <w:ind w:left="400"/>
        <w:jc w:val="both"/>
      </w:pPr>
      <w:r>
        <w:rPr>
          <w:rFonts w:ascii="Aptos" w:cs="Aptos" w:eastAsia="Aptos" w:hAnsi="Aptos"/>
          <w:b w:val="false"/>
          <w:bCs w:val="false"/>
          <w:i w:val="false"/>
          <w:iCs w:val="false"/>
          <w:color w:val="000000"/>
          <w:sz w:val="24"/>
          <w:szCs w:val="24"/>
        </w:rPr>
        <w:t xml:space="preserve">(iv) </w:t>
      </w:r>
      <w:r>
        <w:rPr>
          <w:rFonts w:ascii="Aptos" w:cs="Aptos" w:eastAsia="Aptos" w:hAnsi="Aptos"/>
          <w:b/>
          <w:bCs/>
          <w:i w:val="false"/>
          <w:iCs w:val="false"/>
          <w:color w:val="000000"/>
          <w:sz w:val="24"/>
          <w:szCs w:val="24"/>
        </w:rPr>
        <w:t xml:space="preserve">Metrikler: </w:t>
      </w:r>
      <w:r>
        <w:rPr>
          <w:rFonts w:ascii="Aptos" w:cs="Aptos" w:eastAsia="Aptos" w:hAnsi="Aptos"/>
          <w:b w:val="false"/>
          <w:bCs w:val="false"/>
          <w:i w:val="false"/>
          <w:iCs w:val="false"/>
          <w:color w:val="000000"/>
          <w:sz w:val="24"/>
          <w:szCs w:val="24"/>
        </w:rPr>
        <w:t xml:space="preserve">Patojenik varyantların geniş popülasyonda nadir bulunması ilkesi istatistiksel olarak kanıtlanmıştır.</w:t>
      </w:r>
    </w:p>
    <w:p>
      <w:pPr>
        <w:spacing w:line="276" w:lineRule="auto" w:before="0" w:after="120"/>
        <w:ind w:left="400"/>
        <w:jc w:val="both"/>
      </w:pPr>
      <w:r>
        <w:rPr>
          <w:rFonts w:ascii="Aptos" w:cs="Aptos" w:eastAsia="Aptos" w:hAnsi="Aptos"/>
          <w:b w:val="false"/>
          <w:bCs w:val="false"/>
          <w:i w:val="false"/>
          <w:iCs w:val="false"/>
          <w:color w:val="000000"/>
          <w:sz w:val="24"/>
          <w:szCs w:val="24"/>
        </w:rPr>
        <w:t xml:space="preserve">(v) </w:t>
      </w:r>
      <w:r>
        <w:rPr>
          <w:rFonts w:ascii="Aptos" w:cs="Aptos" w:eastAsia="Aptos" w:hAnsi="Aptos"/>
          <w:b/>
          <w:bCs/>
          <w:i w:val="false"/>
          <w:iCs w:val="false"/>
          <w:color w:val="000000"/>
          <w:sz w:val="24"/>
          <w:szCs w:val="24"/>
        </w:rPr>
        <w:t xml:space="preserve">Sınırlılıklar: </w:t>
      </w:r>
      <w:r>
        <w:rPr>
          <w:rFonts w:ascii="Aptos" w:cs="Aptos" w:eastAsia="Aptos" w:hAnsi="Aptos"/>
          <w:b w:val="false"/>
          <w:bCs w:val="false"/>
          <w:i w:val="false"/>
          <w:iCs w:val="false"/>
          <w:color w:val="000000"/>
          <w:sz w:val="24"/>
          <w:szCs w:val="24"/>
        </w:rPr>
        <w:t xml:space="preserve">Frekans filtresi tek başına yeterli değildir; düşük frekanslı benign varyantlar sınırı aşabilmektedir.</w:t>
      </w:r>
    </w:p>
    <w:p>
      <w:pPr>
        <w:spacing w:line="276" w:lineRule="auto" w:before="0" w:after="120"/>
        <w:jc w:val="both"/>
      </w:pPr>
      <w:r>
        <w:rPr>
          <w:rFonts w:ascii="Aptos" w:cs="Aptos" w:eastAsia="Aptos" w:hAnsi="Aptos"/>
          <w:b/>
          <w:bCs/>
          <w:i w:val="false"/>
          <w:iCs w:val="false"/>
          <w:color w:val="000000"/>
          <w:sz w:val="24"/>
          <w:szCs w:val="24"/>
        </w:rPr>
        <w:t xml:space="preserve">Konumlama: </w:t>
      </w:r>
      <w:r>
        <w:rPr>
          <w:rFonts w:ascii="Aptos" w:cs="Aptos" w:eastAsia="Aptos" w:hAnsi="Aptos"/>
          <w:b w:val="false"/>
          <w:bCs w:val="false"/>
          <w:i w:val="false"/>
          <w:iCs w:val="false"/>
          <w:color w:val="000000"/>
          <w:sz w:val="24"/>
          <w:szCs w:val="24"/>
        </w:rPr>
        <w:t xml:space="preserve">gnomad_exome_af_af ve popülasyon bazlı (AFR/AMR/EAS/NFE/SAS) frekans sütunları kritik bir özellik grubunu oluşturmaktadır. Bu sütunlardaki ~%59 eksiklik oranı ön işleme stratejimizi doğrudan şekillendirmiştir.</w:t>
      </w:r>
    </w:p>
    <w:p>
      <w:pPr>
        <w:pStyle w:val="Heading1"/>
        <w:spacing w:line="276" w:lineRule="auto" w:before="160" w:after="120"/>
        <w:jc w:val="left"/>
      </w:pPr>
      <w:r>
        <w:rPr>
          <w:rFonts w:ascii="Aptos" w:cs="Aptos" w:eastAsia="Aptos" w:hAnsi="Aptos"/>
          <w:b/>
          <w:bCs/>
          <w:color w:val="000000"/>
          <w:sz w:val="28"/>
          <w:szCs w:val="28"/>
        </w:rPr>
        <w:t xml:space="preserve">3. VERİ VE YÖNTEM</w:t>
      </w:r>
    </w:p>
    <w:p>
      <w:pPr>
        <w:spacing w:line="276" w:lineRule="auto" w:before="0" w:after="120"/>
        <w:jc w:val="both"/>
      </w:pPr>
      <w:r>
        <w:rPr>
          <w:rFonts w:ascii="Aptos" w:cs="Aptos" w:eastAsia="Aptos" w:hAnsi="Aptos"/>
          <w:b w:val="false"/>
          <w:bCs w:val="false"/>
          <w:i w:val="false"/>
          <w:iCs w:val="false"/>
          <w:color w:val="000000"/>
          <w:sz w:val="24"/>
          <w:szCs w:val="24"/>
        </w:rPr>
        <w:t xml:space="preserve">Modelin eğitiminde kullanılan ana veri seti hibrit bir yapıya sahiptir. ClinVar veri tabanından varyant etiketleri ve temel kimlikler, gnomAD'dan frekans/popülasyon bilgileri, dbNSFP'den evrimsel korunmuşluk skorları alınmıştır. Aminoasit değişiminden kaynaklanan moleküler ağırlık, hidrofobiklik ve yük farkları türetilmiş özellik (feature) olarak eklenmiştir.</w:t>
      </w:r>
    </w:p>
    <w:p>
      <w:pPr>
        <w:pStyle w:val="Heading2"/>
        <w:spacing w:line="276" w:lineRule="auto" w:before="140" w:after="80"/>
        <w:jc w:val="left"/>
      </w:pPr>
      <w:r>
        <w:rPr>
          <w:rFonts w:ascii="Aptos" w:cs="Aptos" w:eastAsia="Aptos" w:hAnsi="Aptos"/>
          <w:b/>
          <w:bCs/>
          <w:color w:val="000000"/>
          <w:sz w:val="26"/>
          <w:szCs w:val="26"/>
        </w:rPr>
        <w:t xml:space="preserve">3.1 Kullanılan Veri Seti ve Etiketler</w:t>
      </w:r>
    </w:p>
    <w:p>
      <w:pPr>
        <w:spacing w:line="276" w:lineRule="auto" w:before="0" w:after="120"/>
        <w:jc w:val="both"/>
      </w:pPr>
      <w:r>
        <w:rPr>
          <w:rFonts w:ascii="Aptos" w:cs="Aptos" w:eastAsia="Aptos" w:hAnsi="Aptos"/>
          <w:b w:val="false"/>
          <w:bCs w:val="false"/>
          <w:i w:val="false"/>
          <w:iCs w:val="false"/>
          <w:color w:val="000000"/>
          <w:sz w:val="24"/>
          <w:szCs w:val="24"/>
        </w:rPr>
        <w:t xml:space="preserve">Modelin genelleme yeteneğini artırmak amacıyla eğitim verisi dört ayrı kümeye ayrılmıştır: (i) 128 farklı geni kapsayan </w:t>
      </w:r>
      <w:r>
        <w:rPr>
          <w:rFonts w:ascii="Aptos" w:cs="Aptos" w:eastAsia="Aptos" w:hAnsi="Aptos"/>
          <w:b/>
          <w:bCs/>
          <w:i w:val="false"/>
          <w:iCs w:val="false"/>
          <w:color w:val="000000"/>
          <w:sz w:val="24"/>
          <w:szCs w:val="24"/>
        </w:rPr>
        <w:t xml:space="preserve">Genel (Master) Veri Seti</w:t>
      </w:r>
      <w:r>
        <w:rPr>
          <w:rFonts w:ascii="Aptos" w:cs="Aptos" w:eastAsia="Aptos" w:hAnsi="Aptos"/>
          <w:b w:val="false"/>
          <w:bCs w:val="false"/>
          <w:i w:val="false"/>
          <w:iCs w:val="false"/>
          <w:color w:val="000000"/>
          <w:sz w:val="24"/>
          <w:szCs w:val="24"/>
        </w:rPr>
        <w:t xml:space="preserve">, (ii) BRCA1, BRCA2, TP53, MLH1 ve MSH2 başta olmak üzere kalıtsal kanserle ilişkili genleri içeren </w:t>
      </w:r>
      <w:r>
        <w:rPr>
          <w:rFonts w:ascii="Aptos" w:cs="Aptos" w:eastAsia="Aptos" w:hAnsi="Aptos"/>
          <w:b/>
          <w:bCs/>
          <w:i w:val="false"/>
          <w:iCs w:val="false"/>
          <w:color w:val="000000"/>
          <w:sz w:val="24"/>
          <w:szCs w:val="24"/>
        </w:rPr>
        <w:t xml:space="preserve">Herediter Kanser Paneli</w:t>
      </w:r>
      <w:r>
        <w:rPr>
          <w:rFonts w:ascii="Aptos" w:cs="Aptos" w:eastAsia="Aptos" w:hAnsi="Aptos"/>
          <w:b w:val="false"/>
          <w:bCs w:val="false"/>
          <w:i w:val="false"/>
          <w:iCs w:val="false"/>
          <w:color w:val="000000"/>
          <w:sz w:val="24"/>
          <w:szCs w:val="24"/>
        </w:rPr>
        <w:t xml:space="preserve">, (iii) PAH hastalığıyla ilişkili </w:t>
      </w:r>
      <w:r>
        <w:rPr>
          <w:rFonts w:ascii="Aptos" w:cs="Aptos" w:eastAsia="Aptos" w:hAnsi="Aptos"/>
          <w:b/>
          <w:bCs/>
          <w:i w:val="false"/>
          <w:iCs w:val="false"/>
          <w:color w:val="000000"/>
          <w:sz w:val="24"/>
          <w:szCs w:val="24"/>
        </w:rPr>
        <w:t xml:space="preserve">Fenilketonüri (PAH) Paneli</w:t>
      </w:r>
      <w:r>
        <w:rPr>
          <w:rFonts w:ascii="Aptos" w:cs="Aptos" w:eastAsia="Aptos" w:hAnsi="Aptos"/>
          <w:b w:val="false"/>
          <w:bCs w:val="false"/>
          <w:i w:val="false"/>
          <w:iCs w:val="false"/>
          <w:color w:val="000000"/>
          <w:sz w:val="24"/>
          <w:szCs w:val="24"/>
        </w:rPr>
        <w:t xml:space="preserve"> ve (iv) </w:t>
      </w:r>
      <w:r>
        <w:rPr>
          <w:rFonts w:ascii="Aptos" w:cs="Aptos" w:eastAsia="Aptos" w:hAnsi="Aptos"/>
          <w:b/>
          <w:bCs/>
          <w:i w:val="false"/>
          <w:iCs w:val="false"/>
          <w:color w:val="000000"/>
          <w:sz w:val="24"/>
          <w:szCs w:val="24"/>
        </w:rPr>
        <w:t xml:space="preserve">Kistik Fibrozis (CFTR) Paneli</w:t>
      </w:r>
      <w:r>
        <w:rPr>
          <w:rFonts w:ascii="Aptos" w:cs="Aptos" w:eastAsia="Aptos" w:hAnsi="Aptos"/>
          <w:b w:val="false"/>
          <w:bCs w:val="false"/>
          <w:i w:val="false"/>
          <w:iCs w:val="false"/>
          <w:color w:val="000000"/>
          <w:sz w:val="24"/>
          <w:szCs w:val="24"/>
        </w:rPr>
        <w:t xml:space="preserve">.</w:t>
      </w:r>
    </w:p>
    <w:p>
      <w:pPr>
        <w:spacing w:line="276" w:after="0" w:before="0"/>
      </w:pPr>
      <w:r>
        <w:rPr>
          <w:rFonts w:ascii="Aptos" w:cs="Aptos" w:eastAsia="Aptos" w:hAnsi="Aptos"/>
          <w:b w:val="false"/>
          <w:bCs w:val="false"/>
          <w:i w:val="false"/>
          <w:iCs w:val="false"/>
          <w:color w:val="000000"/>
          <w:sz w:val="24"/>
          <w:szCs w:val="24"/>
        </w:rPr>
        <w:t xml:space="preserve"/>
      </w:r>
    </w:p>
    <w:p>
      <w:pPr>
        <w:spacing w:line="276" w:lineRule="auto" w:before="0" w:after="120"/>
        <w:jc w:val="both"/>
      </w:pPr>
      <w:r>
        <w:rPr>
          <w:rFonts w:ascii="Aptos" w:cs="Aptos" w:eastAsia="Aptos" w:hAnsi="Aptos"/>
          <w:b w:val="false"/>
          <w:bCs w:val="false"/>
          <w:i w:val="false"/>
          <w:iCs w:val="false"/>
          <w:color w:val="000000"/>
          <w:sz w:val="24"/>
          <w:szCs w:val="24"/>
        </w:rPr>
        <w:t xml:space="preserve">ACMG rehberleri referans alınarak ClinVar'dan yalnızca "single nucleotide variant" tipindeki, "Expert Panel" veya "Practice Guideline" inceleme statüsüne sahip varyantlar seçilmiştir. "Pathogenic" ve "Likely Pathogenic" etiketleri birleştirilerek </w:t>
      </w:r>
      <w:r>
        <w:rPr>
          <w:rFonts w:ascii="Aptos" w:cs="Aptos" w:eastAsia="Aptos" w:hAnsi="Aptos"/>
          <w:b/>
          <w:bCs/>
          <w:i w:val="false"/>
          <w:iCs w:val="false"/>
          <w:color w:val="000000"/>
          <w:sz w:val="24"/>
          <w:szCs w:val="24"/>
        </w:rPr>
        <w:t xml:space="preserve">Patojenik (1)</w:t>
      </w:r>
      <w:r>
        <w:rPr>
          <w:rFonts w:ascii="Aptos" w:cs="Aptos" w:eastAsia="Aptos" w:hAnsi="Aptos"/>
          <w:b w:val="false"/>
          <w:bCs w:val="false"/>
          <w:i w:val="false"/>
          <w:iCs w:val="false"/>
          <w:color w:val="000000"/>
          <w:sz w:val="24"/>
          <w:szCs w:val="24"/>
        </w:rPr>
        <w:t xml:space="preserve"> sınıfı, "Benign" ve "Likely Benign" etiketleri birleştirilerek </w:t>
      </w:r>
      <w:r>
        <w:rPr>
          <w:rFonts w:ascii="Aptos" w:cs="Aptos" w:eastAsia="Aptos" w:hAnsi="Aptos"/>
          <w:b/>
          <w:bCs/>
          <w:i w:val="false"/>
          <w:iCs w:val="false"/>
          <w:color w:val="000000"/>
          <w:sz w:val="24"/>
          <w:szCs w:val="24"/>
        </w:rPr>
        <w:t xml:space="preserve">Benign (0)</w:t>
      </w:r>
      <w:r>
        <w:rPr>
          <w:rFonts w:ascii="Aptos" w:cs="Aptos" w:eastAsia="Aptos" w:hAnsi="Aptos"/>
          <w:b w:val="false"/>
          <w:bCs w:val="false"/>
          <w:i w:val="false"/>
          <w:iCs w:val="false"/>
          <w:color w:val="000000"/>
          <w:sz w:val="24"/>
          <w:szCs w:val="24"/>
        </w:rPr>
        <w:t xml:space="preserve"> sınıfı oluşturulmuştur.</w:t>
      </w:r>
    </w:p>
    <w:p>
      <w:pPr>
        <w:pStyle w:val="Heading2"/>
        <w:spacing w:line="276" w:lineRule="auto" w:before="140" w:after="80"/>
        <w:jc w:val="left"/>
      </w:pPr>
      <w:r>
        <w:rPr>
          <w:rFonts w:ascii="Aptos" w:cs="Aptos" w:eastAsia="Aptos" w:hAnsi="Aptos"/>
          <w:b/>
          <w:bCs/>
          <w:color w:val="000000"/>
          <w:sz w:val="26"/>
          <w:szCs w:val="26"/>
        </w:rPr>
        <w:t xml:space="preserve">3.2 Veri Kısıtları ve Etikete Doğrudan Erişimi Engelleme</w:t>
      </w:r>
    </w:p>
    <w:p>
      <w:pPr>
        <w:spacing w:line="276" w:lineRule="auto" w:before="0" w:after="120"/>
        <w:jc w:val="both"/>
      </w:pPr>
      <w:r>
        <w:rPr>
          <w:rFonts w:ascii="Aptos" w:cs="Aptos" w:eastAsia="Aptos" w:hAnsi="Aptos"/>
          <w:b w:val="false"/>
          <w:bCs w:val="false"/>
          <w:i w:val="false"/>
          <w:iCs w:val="false"/>
          <w:color w:val="000000"/>
          <w:sz w:val="24"/>
          <w:szCs w:val="24"/>
        </w:rPr>
        <w:t xml:space="preserve">Yarışma şartnamesine uyum kapsamında veri setindeki genomik adres bilgileri (Chromosome, PositionVCF) modele girdi olarak verilmemiş; bu sütunlar yalnızca kayıt doğrulama amacıyla kullanılmıştır. Veri sızıntısını önlemek için veri seti VariationID üzerinden tekilleştirilmiş ve aynı varyantın hem eğitim hem test setinde yer alması engellenmiştir. Veri seti gen sembollerine göre bölünmüştür; böylece modelin panel aidiyetini doğrudan etiketle ilişkilendirmesi yerine evrimsel ve biyokimyasal örüntüleri öğrenmesi sağlanmıştır. Panel kimliği ve kromozom gibi etiketle yüksek korelasyon taşıyabilecek kategorik sütunlar özellik setinden çıkarılmıştır.</w:t>
      </w:r>
    </w:p>
    <w:p>
      <w:pPr>
        <w:pStyle w:val="Heading2"/>
        <w:spacing w:line="276" w:lineRule="auto" w:before="140" w:after="80"/>
        <w:jc w:val="left"/>
      </w:pPr>
      <w:r>
        <w:rPr>
          <w:rFonts w:ascii="Aptos" w:cs="Aptos" w:eastAsia="Aptos" w:hAnsi="Aptos"/>
          <w:b/>
          <w:bCs/>
          <w:color w:val="000000"/>
          <w:sz w:val="26"/>
          <w:szCs w:val="26"/>
        </w:rPr>
        <w:t xml:space="preserve">3.3 Veri Ön İşleme ve Temsilleme Stratejisi</w:t>
      </w:r>
    </w:p>
    <w:p>
      <w:pPr>
        <w:spacing w:line="276" w:lineRule="auto" w:before="0" w:after="120"/>
        <w:jc w:val="both"/>
      </w:pPr>
      <w:r>
        <w:rPr>
          <w:rFonts w:ascii="Aptos" w:cs="Aptos" w:eastAsia="Aptos" w:hAnsi="Aptos"/>
          <w:b w:val="false"/>
          <w:bCs w:val="false"/>
          <w:i w:val="false"/>
          <w:iCs w:val="false"/>
          <w:color w:val="000000"/>
          <w:sz w:val="24"/>
          <w:szCs w:val="24"/>
        </w:rPr>
        <w:t xml:space="preserve">Veri setinde frekans, popülasyon ve evrimsel korunmuşlukla bağlantılı sütunlarda önemli miktarda eksik değer tespit edilmiştir (gnomAD frekans grubu ~%59, AlphaMissense skoru ~%60, REVEL skoru ~%61). </w:t>
      </w:r>
      <w:r>
        <w:rPr>
          <w:rFonts w:ascii="Aptos" w:cs="Aptos" w:eastAsia="Aptos" w:hAnsi="Aptos"/>
          <w:b/>
          <w:bCs/>
          <w:i w:val="false"/>
          <w:iCs w:val="false"/>
          <w:color w:val="000000"/>
          <w:sz w:val="24"/>
          <w:szCs w:val="24"/>
        </w:rPr>
        <w:t xml:space="preserve">Eksik değerlerin 0 ile doldurulması biyoinformatik açıdan yanıltıcı sonuçlara yol açabileceğinden</w:t>
      </w:r>
      <w:r>
        <w:rPr>
          <w:rFonts w:ascii="Aptos" w:cs="Aptos" w:eastAsia="Aptos" w:hAnsi="Aptos"/>
          <w:b w:val="false"/>
          <w:bCs w:val="false"/>
          <w:i w:val="false"/>
          <w:iCs w:val="false"/>
          <w:color w:val="000000"/>
          <w:sz w:val="24"/>
          <w:szCs w:val="24"/>
        </w:rPr>
        <w:t xml:space="preserve"> bu çalışmada IQR tabanlı robust scaler uygulanmadan önce sayısal sütunlar sütun medyanıyla doldurulmuştur. Medyan seçimi, uç değerlerin ortalamayı bozduğu genomik veri yapısıyla uyumludur.</w:t>
      </w:r>
    </w:p>
    <w:p>
      <w:pPr>
        <w:spacing w:line="276" w:lineRule="auto" w:before="0" w:after="120"/>
        <w:jc w:val="both"/>
      </w:pPr>
      <w:r>
        <w:rPr>
          <w:rFonts w:ascii="Aptos" w:cs="Aptos" w:eastAsia="Aptos" w:hAnsi="Aptos"/>
          <w:b w:val="false"/>
          <w:bCs w:val="false"/>
          <w:i w:val="false"/>
          <w:iCs w:val="false"/>
          <w:color w:val="000000"/>
          <w:sz w:val="24"/>
          <w:szCs w:val="24"/>
        </w:rPr>
        <w:t xml:space="preserve">Sayısal verilerin farklı ölçeklerde olması gradyan tabanlı modellerde önyargıya yol açabileceğinden tüm sayısal özellikler IQR (çeyrekler arası aralık) tabanlı robust scaler ile normalize edilmiştir; bu yöntem, biyoinformatik verilerde yaygın olan aykırı skorlara karşı standart Min-Max ölçeklemesine kıyasla daha dayanıklıdır. DNA bağlam dizileri (11-nükleotid pencere) {A,C,G,T,N} sözcük dağarcığıyla tokene dönüştürülmüş; protein bağlam dizileri (11-aminoasit pencere) CNN girişi için hazırlanmıştır.</w:t>
      </w:r>
    </w:p>
    <w:p>
      <w:pPr>
        <w:pStyle w:val="Heading2"/>
        <w:spacing w:line="276" w:lineRule="auto" w:before="140" w:after="80"/>
        <w:jc w:val="left"/>
      </w:pPr>
      <w:r>
        <w:rPr>
          <w:rFonts w:ascii="Aptos" w:cs="Aptos" w:eastAsia="Aptos" w:hAnsi="Aptos"/>
          <w:b/>
          <w:bCs/>
          <w:color w:val="000000"/>
          <w:sz w:val="26"/>
          <w:szCs w:val="26"/>
        </w:rPr>
        <w:t xml:space="preserve">3.4 Etiket Güvenilirliği ve Veri Kalitesi Kontrolü</w:t>
      </w:r>
    </w:p>
    <w:p>
      <w:pPr>
        <w:spacing w:line="276" w:lineRule="auto" w:before="0" w:after="120"/>
        <w:jc w:val="both"/>
      </w:pPr>
      <w:r>
        <w:rPr>
          <w:rFonts w:ascii="Aptos" w:cs="Aptos" w:eastAsia="Aptos" w:hAnsi="Aptos"/>
          <w:b w:val="false"/>
          <w:bCs w:val="false"/>
          <w:i w:val="false"/>
          <w:iCs w:val="false"/>
          <w:color w:val="000000"/>
          <w:sz w:val="24"/>
          <w:szCs w:val="24"/>
        </w:rPr>
        <w:t xml:space="preserve">Veri kalitesini güvence altına almak amacıyla çeşitli kontroller uygulanmıştır. VariationID üzerinden yinelenen kayıtlar veri setinden çıkarılmıştır. Evrimsel korunmuşluk skorlarında (GERP, PhastCons, PhyloP) aykırı değer taraması yapılmış; tespit edilen uç değerler sayıca az olduğundan ve modelin nadir örüntüleri tanıma yeteneğini desteklemesi amacıyla veri setinde bırakılmış, yalnızca ağırlıklandırma stratejisinde dikkate alınmıştır. Ayrıca ClinVar'daki çelişkili sınıflandırmalar </w:t>
      </w:r>
      <w:r>
        <w:rPr>
          <w:rFonts w:ascii="Aptos" w:cs="Aptos" w:eastAsia="Aptos" w:hAnsi="Aptos"/>
          <w:b/>
          <w:bCs/>
          <w:i w:val="false"/>
          <w:iCs w:val="false"/>
          <w:color w:val="000000"/>
          <w:sz w:val="24"/>
          <w:szCs w:val="24"/>
        </w:rPr>
        <w:t xml:space="preserve">is_inconsistent</w:t>
      </w:r>
      <w:r>
        <w:rPr>
          <w:rFonts w:ascii="Aptos" w:cs="Aptos" w:eastAsia="Aptos" w:hAnsi="Aptos"/>
          <w:b w:val="false"/>
          <w:bCs w:val="false"/>
          <w:i w:val="false"/>
          <w:iCs w:val="false"/>
          <w:color w:val="000000"/>
          <w:sz w:val="24"/>
          <w:szCs w:val="24"/>
        </w:rPr>
        <w:t xml:space="preserve"> bayrağıyla işaretlenmiş; bu örnekler eğitim sürecinde daha temkinli ele alınmıştır.</w:t>
      </w:r>
    </w:p>
    <w:p>
      <w:pPr>
        <w:pStyle w:val="Heading2"/>
        <w:spacing w:line="276" w:lineRule="auto" w:before="140" w:after="80"/>
        <w:jc w:val="left"/>
      </w:pPr>
      <w:r>
        <w:rPr>
          <w:rFonts w:ascii="Aptos" w:cs="Aptos" w:eastAsia="Aptos" w:hAnsi="Aptos"/>
          <w:b/>
          <w:bCs/>
          <w:color w:val="000000"/>
          <w:sz w:val="26"/>
          <w:szCs w:val="26"/>
        </w:rPr>
        <w:t xml:space="preserve">3.5 Sınıf Dengesi ve Risk Perspektifi</w:t>
      </w:r>
    </w:p>
    <w:p>
      <w:pPr>
        <w:spacing w:line="276" w:lineRule="auto" w:before="0" w:after="120"/>
        <w:jc w:val="both"/>
      </w:pPr>
      <w:r>
        <w:rPr>
          <w:rFonts w:ascii="Aptos" w:cs="Aptos" w:eastAsia="Aptos" w:hAnsi="Aptos"/>
          <w:b w:val="false"/>
          <w:bCs w:val="false"/>
          <w:i w:val="false"/>
          <w:iCs w:val="false"/>
          <w:color w:val="000000"/>
          <w:sz w:val="24"/>
          <w:szCs w:val="24"/>
        </w:rPr>
        <w:t xml:space="preserve">Her panel için sınıf dağılımı aşağıdaki tabloda özetlenmiştir.</w:t>
      </w:r>
    </w:p>
    <w:p>
      <w:pPr>
        <w:spacing w:line="276" w:after="0" w:before="0"/>
      </w:pPr>
      <w:r>
        <w:rPr>
          <w:rFonts w:ascii="Aptos" w:cs="Aptos" w:eastAsia="Aptos" w:hAnsi="Aptos"/>
          <w:b w:val="false"/>
          <w:bCs w:val="false"/>
          <w:i w:val="false"/>
          <w:iCs w:val="false"/>
          <w:color w:val="000000"/>
          <w:sz w:val="24"/>
          <w:szCs w:val="24"/>
        </w:rP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84"/>
        <w:gridCol w:w="1995"/>
        <w:gridCol w:w="1995"/>
        <w:gridCol w:w="1995"/>
      </w:tblGrid>
      <w:tr>
        <w:tc>
          <w:tcPr>
            <w:tcW w:type="dxa" w:w="3084"/>
            <w:tcBorders>
              <w:top w:val="single" w:color="AAAAAA" w:sz="1"/>
              <w:left w:val="single" w:color="AAAAAA" w:sz="1"/>
              <w:bottom w:val="single" w:color="AAAAAA" w:sz="1"/>
              <w:right w:val="single" w:color="AAAAAA" w:sz="1"/>
            </w:tcBorders>
            <w:shd w:fill="E2EEF9" w:val="clear"/>
            <w:tcMar>
              <w:top w:type="dxa" w:w="80"/>
              <w:left w:type="dxa" w:w="120"/>
              <w:bottom w:type="dxa" w:w="80"/>
              <w:right w:type="dxa" w:w="120"/>
            </w:tcMar>
            <w:vAlign w:val="center"/>
          </w:tcPr>
          <w:p>
            <w:pPr>
              <w:spacing w:line="276" w:after="0"/>
              <w:jc w:val="center"/>
            </w:pPr>
            <w:r>
              <w:rPr>
                <w:rFonts w:ascii="Aptos" w:cs="Aptos" w:eastAsia="Aptos" w:hAnsi="Aptos"/>
                <w:b/>
                <w:bCs/>
                <w:color w:val="000000"/>
                <w:sz w:val="22"/>
                <w:szCs w:val="22"/>
              </w:rPr>
              <w:t xml:space="preserve">Veri Seti</w:t>
            </w:r>
          </w:p>
        </w:tc>
        <w:tc>
          <w:tcPr>
            <w:tcW w:type="dxa" w:w="1995"/>
            <w:tcBorders>
              <w:top w:val="single" w:color="AAAAAA" w:sz="1"/>
              <w:left w:val="single" w:color="AAAAAA" w:sz="1"/>
              <w:bottom w:val="single" w:color="AAAAAA" w:sz="1"/>
              <w:right w:val="single" w:color="AAAAAA" w:sz="1"/>
            </w:tcBorders>
            <w:shd w:fill="E2EEF9" w:val="clear"/>
            <w:tcMar>
              <w:top w:type="dxa" w:w="80"/>
              <w:left w:type="dxa" w:w="120"/>
              <w:bottom w:type="dxa" w:w="80"/>
              <w:right w:type="dxa" w:w="120"/>
            </w:tcMar>
            <w:vAlign w:val="center"/>
          </w:tcPr>
          <w:p>
            <w:pPr>
              <w:spacing w:line="276" w:after="0"/>
              <w:jc w:val="center"/>
            </w:pPr>
            <w:r>
              <w:rPr>
                <w:rFonts w:ascii="Aptos" w:cs="Aptos" w:eastAsia="Aptos" w:hAnsi="Aptos"/>
                <w:b/>
                <w:bCs/>
                <w:color w:val="000000"/>
                <w:sz w:val="22"/>
                <w:szCs w:val="22"/>
              </w:rPr>
              <w:t xml:space="preserve">Toplam Örnek</w:t>
            </w:r>
          </w:p>
        </w:tc>
        <w:tc>
          <w:tcPr>
            <w:tcW w:type="dxa" w:w="1995"/>
            <w:tcBorders>
              <w:top w:val="single" w:color="AAAAAA" w:sz="1"/>
              <w:left w:val="single" w:color="AAAAAA" w:sz="1"/>
              <w:bottom w:val="single" w:color="AAAAAA" w:sz="1"/>
              <w:right w:val="single" w:color="AAAAAA" w:sz="1"/>
            </w:tcBorders>
            <w:shd w:fill="E2EEF9" w:val="clear"/>
            <w:tcMar>
              <w:top w:type="dxa" w:w="80"/>
              <w:left w:type="dxa" w:w="120"/>
              <w:bottom w:type="dxa" w:w="80"/>
              <w:right w:type="dxa" w:w="120"/>
            </w:tcMar>
            <w:vAlign w:val="center"/>
          </w:tcPr>
          <w:p>
            <w:pPr>
              <w:spacing w:line="276" w:after="0"/>
              <w:jc w:val="center"/>
            </w:pPr>
            <w:r>
              <w:rPr>
                <w:rFonts w:ascii="Aptos" w:cs="Aptos" w:eastAsia="Aptos" w:hAnsi="Aptos"/>
                <w:b/>
                <w:bCs/>
                <w:color w:val="000000"/>
                <w:sz w:val="22"/>
                <w:szCs w:val="22"/>
              </w:rPr>
              <w:t xml:space="preserve">Patojenik (P+LP)</w:t>
            </w:r>
          </w:p>
        </w:tc>
        <w:tc>
          <w:tcPr>
            <w:tcW w:type="dxa" w:w="1995"/>
            <w:tcBorders>
              <w:top w:val="single" w:color="AAAAAA" w:sz="1"/>
              <w:left w:val="single" w:color="AAAAAA" w:sz="1"/>
              <w:bottom w:val="single" w:color="AAAAAA" w:sz="1"/>
              <w:right w:val="single" w:color="AAAAAA" w:sz="1"/>
            </w:tcBorders>
            <w:shd w:fill="E2EEF9" w:val="clear"/>
            <w:tcMar>
              <w:top w:type="dxa" w:w="80"/>
              <w:left w:type="dxa" w:w="120"/>
              <w:bottom w:type="dxa" w:w="80"/>
              <w:right w:type="dxa" w:w="120"/>
            </w:tcMar>
            <w:vAlign w:val="center"/>
          </w:tcPr>
          <w:p>
            <w:pPr>
              <w:spacing w:line="276" w:after="0"/>
              <w:jc w:val="center"/>
            </w:pPr>
            <w:r>
              <w:rPr>
                <w:rFonts w:ascii="Aptos" w:cs="Aptos" w:eastAsia="Aptos" w:hAnsi="Aptos"/>
                <w:b/>
                <w:bCs/>
                <w:color w:val="000000"/>
                <w:sz w:val="22"/>
                <w:szCs w:val="22"/>
              </w:rPr>
              <w:t xml:space="preserve">Benign (B+LB)</w:t>
            </w:r>
          </w:p>
        </w:tc>
      </w:tr>
      <w:tr>
        <w:tc>
          <w:tcPr>
            <w:tcW w:type="dxa" w:w="308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76" w:after="0"/>
              <w:jc w:val="center"/>
            </w:pPr>
            <w:r>
              <w:rPr>
                <w:rFonts w:ascii="Aptos" w:cs="Aptos" w:eastAsia="Aptos" w:hAnsi="Aptos"/>
                <w:b w:val="false"/>
                <w:bCs w:val="false"/>
                <w:color w:val="000000"/>
                <w:sz w:val="22"/>
                <w:szCs w:val="22"/>
              </w:rPr>
              <w:t xml:space="preserve">Genel (Master) Veri Seti</w:t>
            </w:r>
          </w:p>
        </w:tc>
        <w:tc>
          <w:tcPr>
            <w:tcW w:type="dxa" w:w="199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76" w:after="0"/>
              <w:jc w:val="center"/>
            </w:pPr>
            <w:r>
              <w:rPr>
                <w:rFonts w:ascii="Aptos" w:cs="Aptos" w:eastAsia="Aptos" w:hAnsi="Aptos"/>
                <w:b w:val="false"/>
                <w:bCs w:val="false"/>
                <w:color w:val="000000"/>
                <w:sz w:val="22"/>
                <w:szCs w:val="22"/>
              </w:rPr>
              <w:t xml:space="preserve">11.171</w:t>
            </w:r>
          </w:p>
        </w:tc>
        <w:tc>
          <w:tcPr>
            <w:tcW w:type="dxa" w:w="199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76" w:after="0"/>
              <w:jc w:val="center"/>
            </w:pPr>
            <w:r>
              <w:rPr>
                <w:rFonts w:ascii="Aptos" w:cs="Aptos" w:eastAsia="Aptos" w:hAnsi="Aptos"/>
                <w:b w:val="false"/>
                <w:bCs w:val="false"/>
                <w:color w:val="000000"/>
                <w:sz w:val="22"/>
                <w:szCs w:val="22"/>
              </w:rPr>
              <w:t xml:space="preserve">6.098</w:t>
            </w:r>
          </w:p>
        </w:tc>
        <w:tc>
          <w:tcPr>
            <w:tcW w:type="dxa" w:w="199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76" w:after="0"/>
              <w:jc w:val="center"/>
            </w:pPr>
            <w:r>
              <w:rPr>
                <w:rFonts w:ascii="Aptos" w:cs="Aptos" w:eastAsia="Aptos" w:hAnsi="Aptos"/>
                <w:b w:val="false"/>
                <w:bCs w:val="false"/>
                <w:color w:val="000000"/>
                <w:sz w:val="22"/>
                <w:szCs w:val="22"/>
              </w:rPr>
              <w:t xml:space="preserve">5.073</w:t>
            </w:r>
          </w:p>
        </w:tc>
      </w:tr>
      <w:tr>
        <w:tc>
          <w:tcPr>
            <w:tcW w:type="dxa" w:w="308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76" w:after="0"/>
              <w:jc w:val="center"/>
            </w:pPr>
            <w:r>
              <w:rPr>
                <w:rFonts w:ascii="Aptos" w:cs="Aptos" w:eastAsia="Aptos" w:hAnsi="Aptos"/>
                <w:b w:val="false"/>
                <w:bCs w:val="false"/>
                <w:color w:val="000000"/>
                <w:sz w:val="22"/>
                <w:szCs w:val="22"/>
              </w:rPr>
              <w:t xml:space="preserve">Herediter Kanser Paneli</w:t>
            </w:r>
          </w:p>
        </w:tc>
        <w:tc>
          <w:tcPr>
            <w:tcW w:type="dxa" w:w="199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76" w:after="0"/>
              <w:jc w:val="center"/>
            </w:pPr>
            <w:r>
              <w:rPr>
                <w:rFonts w:ascii="Aptos" w:cs="Aptos" w:eastAsia="Aptos" w:hAnsi="Aptos"/>
                <w:b w:val="false"/>
                <w:bCs w:val="false"/>
                <w:color w:val="000000"/>
                <w:sz w:val="22"/>
                <w:szCs w:val="22"/>
              </w:rPr>
              <w:t xml:space="preserve">4.593</w:t>
            </w:r>
          </w:p>
        </w:tc>
        <w:tc>
          <w:tcPr>
            <w:tcW w:type="dxa" w:w="199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76" w:after="0"/>
              <w:jc w:val="center"/>
            </w:pPr>
            <w:r>
              <w:rPr>
                <w:rFonts w:ascii="Aptos" w:cs="Aptos" w:eastAsia="Aptos" w:hAnsi="Aptos"/>
                <w:b w:val="false"/>
                <w:bCs w:val="false"/>
                <w:color w:val="000000"/>
                <w:sz w:val="22"/>
                <w:szCs w:val="22"/>
              </w:rPr>
              <w:t xml:space="preserve">2.813</w:t>
            </w:r>
          </w:p>
        </w:tc>
        <w:tc>
          <w:tcPr>
            <w:tcW w:type="dxa" w:w="199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76" w:after="0"/>
              <w:jc w:val="center"/>
            </w:pPr>
            <w:r>
              <w:rPr>
                <w:rFonts w:ascii="Aptos" w:cs="Aptos" w:eastAsia="Aptos" w:hAnsi="Aptos"/>
                <w:b w:val="false"/>
                <w:bCs w:val="false"/>
                <w:color w:val="000000"/>
                <w:sz w:val="22"/>
                <w:szCs w:val="22"/>
              </w:rPr>
              <w:t xml:space="preserve">1.780</w:t>
            </w:r>
          </w:p>
        </w:tc>
      </w:tr>
      <w:tr>
        <w:tc>
          <w:tcPr>
            <w:tcW w:type="dxa" w:w="308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76" w:after="0"/>
              <w:jc w:val="center"/>
            </w:pPr>
            <w:r>
              <w:rPr>
                <w:rFonts w:ascii="Aptos" w:cs="Aptos" w:eastAsia="Aptos" w:hAnsi="Aptos"/>
                <w:b w:val="false"/>
                <w:bCs w:val="false"/>
                <w:color w:val="000000"/>
                <w:sz w:val="22"/>
                <w:szCs w:val="22"/>
              </w:rPr>
              <w:t xml:space="preserve">PAH (Fenilketonüri) Paneli</w:t>
            </w:r>
          </w:p>
        </w:tc>
        <w:tc>
          <w:tcPr>
            <w:tcW w:type="dxa" w:w="199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76" w:after="0"/>
              <w:jc w:val="center"/>
            </w:pPr>
            <w:r>
              <w:rPr>
                <w:rFonts w:ascii="Aptos" w:cs="Aptos" w:eastAsia="Aptos" w:hAnsi="Aptos"/>
                <w:b w:val="false"/>
                <w:bCs w:val="false"/>
                <w:color w:val="000000"/>
                <w:sz w:val="22"/>
                <w:szCs w:val="22"/>
              </w:rPr>
              <w:t xml:space="preserve">81</w:t>
            </w:r>
          </w:p>
        </w:tc>
        <w:tc>
          <w:tcPr>
            <w:tcW w:type="dxa" w:w="199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76" w:after="0"/>
              <w:jc w:val="center"/>
            </w:pPr>
            <w:r>
              <w:rPr>
                <w:rFonts w:ascii="Aptos" w:cs="Aptos" w:eastAsia="Aptos" w:hAnsi="Aptos"/>
                <w:b w:val="false"/>
                <w:bCs w:val="false"/>
                <w:color w:val="000000"/>
                <w:sz w:val="22"/>
                <w:szCs w:val="22"/>
              </w:rPr>
              <w:t xml:space="preserve">31</w:t>
            </w:r>
          </w:p>
        </w:tc>
        <w:tc>
          <w:tcPr>
            <w:tcW w:type="dxa" w:w="199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76" w:after="0"/>
              <w:jc w:val="center"/>
            </w:pPr>
            <w:r>
              <w:rPr>
                <w:rFonts w:ascii="Aptos" w:cs="Aptos" w:eastAsia="Aptos" w:hAnsi="Aptos"/>
                <w:b w:val="false"/>
                <w:bCs w:val="false"/>
                <w:color w:val="000000"/>
                <w:sz w:val="22"/>
                <w:szCs w:val="22"/>
              </w:rPr>
              <w:t xml:space="preserve">50</w:t>
            </w:r>
          </w:p>
        </w:tc>
      </w:tr>
      <w:tr>
        <w:tc>
          <w:tcPr>
            <w:tcW w:type="dxa" w:w="308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76" w:after="0"/>
              <w:jc w:val="center"/>
            </w:pPr>
            <w:r>
              <w:rPr>
                <w:rFonts w:ascii="Aptos" w:cs="Aptos" w:eastAsia="Aptos" w:hAnsi="Aptos"/>
                <w:b w:val="false"/>
                <w:bCs w:val="false"/>
                <w:color w:val="000000"/>
                <w:sz w:val="22"/>
                <w:szCs w:val="22"/>
              </w:rPr>
              <w:t xml:space="preserve">CFTR (Kistik Fibrozis) Paneli</w:t>
            </w:r>
          </w:p>
        </w:tc>
        <w:tc>
          <w:tcPr>
            <w:tcW w:type="dxa" w:w="199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76" w:after="0"/>
              <w:jc w:val="center"/>
            </w:pPr>
            <w:r>
              <w:rPr>
                <w:rFonts w:ascii="Aptos" w:cs="Aptos" w:eastAsia="Aptos" w:hAnsi="Aptos"/>
                <w:b w:val="false"/>
                <w:bCs w:val="false"/>
                <w:color w:val="000000"/>
                <w:sz w:val="22"/>
                <w:szCs w:val="22"/>
              </w:rPr>
              <w:t xml:space="preserve">254</w:t>
            </w:r>
          </w:p>
        </w:tc>
        <w:tc>
          <w:tcPr>
            <w:tcW w:type="dxa" w:w="199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76" w:after="0"/>
              <w:jc w:val="center"/>
            </w:pPr>
            <w:r>
              <w:rPr>
                <w:rFonts w:ascii="Aptos" w:cs="Aptos" w:eastAsia="Aptos" w:hAnsi="Aptos"/>
                <w:b w:val="false"/>
                <w:bCs w:val="false"/>
                <w:color w:val="000000"/>
                <w:sz w:val="22"/>
                <w:szCs w:val="22"/>
              </w:rPr>
              <w:t xml:space="preserve">254</w:t>
            </w:r>
          </w:p>
        </w:tc>
        <w:tc>
          <w:tcPr>
            <w:tcW w:type="dxa" w:w="199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76" w:after="0"/>
              <w:jc w:val="center"/>
            </w:pPr>
            <w:r>
              <w:rPr>
                <w:rFonts w:ascii="Aptos" w:cs="Aptos" w:eastAsia="Aptos" w:hAnsi="Aptos"/>
                <w:b w:val="false"/>
                <w:bCs w:val="false"/>
                <w:color w:val="000000"/>
                <w:sz w:val="22"/>
                <w:szCs w:val="22"/>
              </w:rPr>
              <w:t xml:space="preserve">0</w:t>
            </w:r>
          </w:p>
        </w:tc>
      </w:tr>
    </w:tbl>
    <w:p>
      <w:pPr>
        <w:spacing w:line="276" w:after="0" w:before="0"/>
      </w:pPr>
      <w:r>
        <w:rPr>
          <w:rFonts w:ascii="Aptos" w:cs="Aptos" w:eastAsia="Aptos" w:hAnsi="Aptos"/>
          <w:b w:val="false"/>
          <w:bCs w:val="false"/>
          <w:i w:val="false"/>
          <w:iCs w:val="false"/>
          <w:color w:val="000000"/>
          <w:sz w:val="24"/>
          <w:szCs w:val="24"/>
        </w:rPr>
        <w:t xml:space="preserve"/>
      </w:r>
    </w:p>
    <w:p>
      <w:pPr>
        <w:spacing w:line="276" w:lineRule="auto" w:before="0" w:after="120"/>
        <w:jc w:val="both"/>
      </w:pPr>
      <w:r>
        <w:rPr>
          <w:rFonts w:ascii="Aptos" w:cs="Aptos" w:eastAsia="Aptos" w:hAnsi="Aptos"/>
          <w:b w:val="false"/>
          <w:bCs w:val="false"/>
          <w:i w:val="false"/>
          <w:iCs w:val="false"/>
          <w:color w:val="000000"/>
          <w:sz w:val="24"/>
          <w:szCs w:val="24"/>
        </w:rPr>
        <w:t xml:space="preserve">Genel veri setinde sınıflar yaklaşık dengeli olmakla birlikte CFTR panelinde yalnızca patojenik örnekler bulunmaktadır; bu durum panelin kendi içinde ayrı bir değerlendirme gerektirdiğini göstermektedir. PAH ve CFTR panellerindeki düşük örnek sayısı göz önüne alınarak doğruluk metriklerinin yanı sıra çapraz doğrulama varyansı da izlenmiştir.</w:t>
      </w:r>
    </w:p>
    <w:p>
      <w:pPr>
        <w:spacing w:line="276" w:lineRule="auto" w:before="0" w:after="120"/>
        <w:jc w:val="both"/>
      </w:pPr>
      <w:r>
        <w:rPr>
          <w:rFonts w:ascii="Aptos" w:cs="Aptos" w:eastAsia="Aptos" w:hAnsi="Aptos"/>
          <w:b w:val="false"/>
          <w:bCs w:val="false"/>
          <w:i w:val="false"/>
          <w:iCs w:val="false"/>
          <w:color w:val="000000"/>
          <w:sz w:val="24"/>
          <w:szCs w:val="24"/>
        </w:rPr>
        <w:t xml:space="preserve">Klinik açıdan değerlendirildiğinde Yanlış Negatif (FN) hatası — patojenik bir varyantın kaçırılması — Yanlış Pozitif (FP) hatasından çok daha yüksek risk taşımaktadır. Bu nedenle eğitim sırasında sinir ağı tarafında pos_weight = 6.0 ile ağırlıklı kayıp fonksiyonu uygulanmış; karar eşiği F1 skorunu maksimize edecek şekilde seçilmiştir.</w:t>
      </w:r>
    </w:p>
    <w:p>
      <w:pPr>
        <w:pStyle w:val="Heading2"/>
        <w:spacing w:line="276" w:lineRule="auto" w:before="140" w:after="80"/>
        <w:jc w:val="left"/>
      </w:pPr>
      <w:r>
        <w:rPr>
          <w:rFonts w:ascii="Aptos" w:cs="Aptos" w:eastAsia="Aptos" w:hAnsi="Aptos"/>
          <w:b/>
          <w:bCs/>
          <w:color w:val="000000"/>
          <w:sz w:val="26"/>
          <w:szCs w:val="26"/>
        </w:rPr>
        <w:t xml:space="preserve">3.6 Seçilen Algoritmalar ve Gerekçe</w:t>
      </w:r>
    </w:p>
    <w:p>
      <w:pPr>
        <w:spacing w:line="276" w:lineRule="auto" w:before="0" w:after="120"/>
        <w:jc w:val="both"/>
      </w:pPr>
      <w:r>
        <w:rPr>
          <w:rFonts w:ascii="Aptos" w:cs="Aptos" w:eastAsia="Aptos" w:hAnsi="Aptos"/>
          <w:b w:val="false"/>
          <w:bCs w:val="false"/>
          <w:i w:val="false"/>
          <w:iCs w:val="false"/>
          <w:color w:val="000000"/>
          <w:sz w:val="24"/>
          <w:szCs w:val="24"/>
        </w:rPr>
        <w:t xml:space="preserve">Genetik varyant verilerinin çok boyutlu ve heterojen yapısını (tabular biyoinformatik skorlar, popülasyon frekansları, DNA sekans bağlamı, panel kimliği) verimli biçimde modellemek için </w:t>
      </w:r>
      <w:r>
        <w:rPr>
          <w:rFonts w:ascii="Aptos" w:cs="Aptos" w:eastAsia="Aptos" w:hAnsi="Aptos"/>
          <w:b/>
          <w:bCs/>
          <w:i w:val="false"/>
          <w:iCs w:val="false"/>
          <w:color w:val="000000"/>
          <w:sz w:val="24"/>
          <w:szCs w:val="24"/>
        </w:rPr>
        <w:t xml:space="preserve">Hybrid Mixture of Experts (MoE V2)</w:t>
      </w:r>
      <w:r>
        <w:rPr>
          <w:rFonts w:ascii="Aptos" w:cs="Aptos" w:eastAsia="Aptos" w:hAnsi="Aptos"/>
          <w:b w:val="false"/>
          <w:bCs w:val="false"/>
          <w:i w:val="false"/>
          <w:iCs w:val="false"/>
          <w:color w:val="000000"/>
          <w:sz w:val="24"/>
          <w:szCs w:val="24"/>
        </w:rPr>
        <w:t xml:space="preserve"> mimarisi tercih edilmiştir.</w:t>
      </w:r>
    </w:p>
    <w:p>
      <w:pPr>
        <w:spacing w:line="276" w:lineRule="auto" w:before="0" w:after="120"/>
        <w:jc w:val="both"/>
      </w:pPr>
      <w:r>
        <w:rPr>
          <w:rFonts w:ascii="Aptos" w:cs="Aptos" w:eastAsia="Aptos" w:hAnsi="Aptos"/>
          <w:b/>
          <w:bCs/>
          <w:i w:val="false"/>
          <w:iCs w:val="false"/>
          <w:color w:val="000000"/>
          <w:sz w:val="24"/>
          <w:szCs w:val="24"/>
        </w:rPr>
        <w:t xml:space="preserve">MasterExpert (CatBoost): </w:t>
      </w:r>
      <w:r>
        <w:rPr>
          <w:rFonts w:ascii="Aptos" w:cs="Aptos" w:eastAsia="Aptos" w:hAnsi="Aptos"/>
          <w:b w:val="false"/>
          <w:bCs w:val="false"/>
          <w:i w:val="false"/>
          <w:iCs w:val="false"/>
          <w:color w:val="000000"/>
          <w:sz w:val="24"/>
          <w:szCs w:val="24"/>
        </w:rPr>
        <w:t xml:space="preserve">Tüm veri seti üzerinde eğitilen ana uzman. CatBoost'un simetrik ağaç yapısı ve kategorik veri işleme yeteneği, biyoinformatik tabular verideki doğrusal olmayan ilişkileri yakalamada standart derin ağlardan üstün performans göstermektedir. Overfitting'e karşı yerleşik dayanıklılığı ve hızlı eğitim süresi tercih gerekçeleri arasındadır.</w:t>
      </w:r>
    </w:p>
    <w:p>
      <w:pPr>
        <w:spacing w:line="276" w:lineRule="auto" w:before="0" w:after="120"/>
        <w:jc w:val="both"/>
      </w:pPr>
      <w:r>
        <w:rPr>
          <w:rFonts w:ascii="Aptos" w:cs="Aptos" w:eastAsia="Aptos" w:hAnsi="Aptos"/>
          <w:b/>
          <w:bCs/>
          <w:i w:val="false"/>
          <w:iCs w:val="false"/>
          <w:color w:val="000000"/>
          <w:sz w:val="24"/>
          <w:szCs w:val="24"/>
        </w:rPr>
        <w:t xml:space="preserve">PanelExperts (CatBoost × 3): </w:t>
      </w:r>
      <w:r>
        <w:rPr>
          <w:rFonts w:ascii="Aptos" w:cs="Aptos" w:eastAsia="Aptos" w:hAnsi="Aptos"/>
          <w:b w:val="false"/>
          <w:bCs w:val="false"/>
          <w:i w:val="false"/>
          <w:iCs w:val="false"/>
          <w:color w:val="000000"/>
          <w:sz w:val="24"/>
          <w:szCs w:val="24"/>
        </w:rPr>
        <w:t xml:space="preserve">Herediter Kanser, PAH ve CFTR panelleri için ayrı ayrı eğitilmiş uzman modeller. Her panel farklı biyolojik bağlam ve varyasyon deseni sergilemekte olup Bölüm 5'te desteklenen [5] numaralı çalışmada da gösterildiği üzere gen-özgü modeller genome-wide yaklaşımları AUPRC bazında geride bırakmaktadır.</w:t>
      </w:r>
    </w:p>
    <w:p>
      <w:pPr>
        <w:spacing w:line="276" w:lineRule="auto" w:before="0" w:after="120"/>
        <w:jc w:val="both"/>
      </w:pPr>
      <w:r>
        <w:rPr>
          <w:rFonts w:ascii="Aptos" w:cs="Aptos" w:eastAsia="Aptos" w:hAnsi="Aptos"/>
          <w:b/>
          <w:bCs/>
          <w:i w:val="false"/>
          <w:iCs w:val="false"/>
          <w:color w:val="000000"/>
          <w:sz w:val="24"/>
          <w:szCs w:val="24"/>
        </w:rPr>
        <w:t xml:space="preserve">CNNExpert (1D-CNN): </w:t>
      </w:r>
      <w:r>
        <w:rPr>
          <w:rFonts w:ascii="Aptos" w:cs="Aptos" w:eastAsia="Aptos" w:hAnsi="Aptos"/>
          <w:b w:val="false"/>
          <w:bCs w:val="false"/>
          <w:i w:val="false"/>
          <w:iCs w:val="false"/>
          <w:color w:val="000000"/>
          <w:sz w:val="24"/>
          <w:szCs w:val="24"/>
        </w:rPr>
        <w:t xml:space="preserve">11-nükleotid DNA bağlam penceresi üzerinde çalışan evrişimli sinir ağı. Embedding(5,16) → Conv1d(32, k=3) + BN + ReLU → Conv1d(16, k=3) + BN + ReLU → GlobalMaxPool yapısıyla sekans bağlamını 8 boyutlu bir özellik vektörüne dönüştürmektedir. Transformer mimarisine kıyasla çok daha düşük parametre sayısıyla overfitting riski azaltılmıştır.</w:t>
      </w:r>
    </w:p>
    <w:p>
      <w:pPr>
        <w:spacing w:line="276" w:lineRule="auto" w:before="0" w:after="120"/>
        <w:jc w:val="both"/>
      </w:pPr>
      <w:r>
        <w:rPr>
          <w:rFonts w:ascii="Aptos" w:cs="Aptos" w:eastAsia="Aptos" w:hAnsi="Aptos"/>
          <w:b/>
          <w:bCs/>
          <w:i w:val="false"/>
          <w:iCs w:val="false"/>
          <w:color w:val="000000"/>
          <w:sz w:val="24"/>
          <w:szCs w:val="24"/>
        </w:rPr>
        <w:t xml:space="preserve">MoEGating + OutputHead: </w:t>
      </w:r>
      <w:r>
        <w:rPr>
          <w:rFonts w:ascii="Aptos" w:cs="Aptos" w:eastAsia="Aptos" w:hAnsi="Aptos"/>
          <w:b w:val="false"/>
          <w:bCs w:val="false"/>
          <w:i w:val="false"/>
          <w:iCs w:val="false"/>
          <w:color w:val="000000"/>
          <w:sz w:val="24"/>
          <w:szCs w:val="24"/>
        </w:rPr>
        <w:t xml:space="preserve">Dört uzman akışının (master_prob, panel_prob, cnn_feat, panel_embed) softmax kapı ağırlıklarıyla dinamik olarak birleştirilmesi sağlanmaktadır. OutputHead, Dropout(0.3) → Linear(32→16) → ReLU → Linear(16→1) → Sigmoid yapısından oluşmaktadır.</w:t>
      </w:r>
    </w:p>
    <w:p>
      <w:pPr>
        <w:pStyle w:val="Heading1"/>
        <w:spacing w:line="276" w:lineRule="auto" w:before="160" w:after="120"/>
        <w:jc w:val="left"/>
      </w:pPr>
      <w:r>
        <w:rPr>
          <w:rFonts w:ascii="Aptos" w:cs="Aptos" w:eastAsia="Aptos" w:hAnsi="Aptos"/>
          <w:b/>
          <w:bCs/>
          <w:color w:val="000000"/>
          <w:sz w:val="28"/>
          <w:szCs w:val="28"/>
        </w:rPr>
        <w:t xml:space="preserve">4. DENEY TASARIMI, SONUÇLAR VE İNCELEME</w:t>
      </w:r>
    </w:p>
    <w:p>
      <w:pPr>
        <w:pStyle w:val="Heading2"/>
        <w:spacing w:line="276" w:lineRule="auto" w:before="140" w:after="80"/>
        <w:jc w:val="left"/>
      </w:pPr>
      <w:r>
        <w:rPr>
          <w:rFonts w:ascii="Aptos" w:cs="Aptos" w:eastAsia="Aptos" w:hAnsi="Aptos"/>
          <w:b/>
          <w:bCs/>
          <w:color w:val="000000"/>
          <w:sz w:val="26"/>
          <w:szCs w:val="26"/>
        </w:rPr>
        <w:t xml:space="preserve">4.1 Deney Protokolü ve Veri Bölme</w:t>
      </w:r>
    </w:p>
    <w:p>
      <w:pPr>
        <w:spacing w:line="276" w:lineRule="auto" w:before="0" w:after="120"/>
        <w:jc w:val="both"/>
      </w:pPr>
      <w:r>
        <w:rPr>
          <w:rFonts w:ascii="Aptos" w:cs="Aptos" w:eastAsia="Aptos" w:hAnsi="Aptos"/>
          <w:b w:val="false"/>
          <w:bCs w:val="false"/>
          <w:i w:val="false"/>
          <w:iCs w:val="false"/>
          <w:color w:val="000000"/>
          <w:sz w:val="24"/>
          <w:szCs w:val="24"/>
        </w:rPr>
        <w:t xml:space="preserve">Modelin başarısının rastlantısal iyi sonuçtan arındırılması için </w:t>
      </w:r>
      <w:r>
        <w:rPr>
          <w:rFonts w:ascii="Aptos" w:cs="Aptos" w:eastAsia="Aptos" w:hAnsi="Aptos"/>
          <w:b/>
          <w:bCs/>
          <w:i w:val="false"/>
          <w:iCs w:val="false"/>
          <w:color w:val="000000"/>
          <w:sz w:val="24"/>
          <w:szCs w:val="24"/>
        </w:rPr>
        <w:t xml:space="preserve">Stratified 5-Fold Cross-Validation</w:t>
      </w:r>
      <w:r>
        <w:rPr>
          <w:rFonts w:ascii="Aptos" w:cs="Aptos" w:eastAsia="Aptos" w:hAnsi="Aptos"/>
          <w:b w:val="false"/>
          <w:bCs w:val="false"/>
          <w:i w:val="false"/>
          <w:iCs w:val="false"/>
          <w:color w:val="000000"/>
          <w:sz w:val="24"/>
          <w:szCs w:val="24"/>
        </w:rPr>
        <w:t xml:space="preserve"> (k=5, sınıf dağılımı korunarak) uygulanmıştır. Veri seti sınıf oranı sabit tutulacak şekilde %80 eğitim ve %20 bağımsız test seti olarak ayrılmıştır. Hiperparametre optimizasyonu (Optuna, Bayesian search) ve model seçimi bu 5-katlı yapı üzerinde yürütülmüştür.</w:t>
      </w:r>
    </w:p>
    <w:p>
      <w:pPr>
        <w:spacing w:line="276" w:lineRule="auto" w:before="0" w:after="120"/>
        <w:jc w:val="both"/>
      </w:pPr>
      <w:r>
        <w:rPr>
          <w:rFonts w:ascii="Aptos" w:cs="Aptos" w:eastAsia="Aptos" w:hAnsi="Aptos"/>
          <w:b w:val="false"/>
          <w:bCs w:val="false"/>
          <w:i w:val="false"/>
          <w:iCs w:val="false"/>
          <w:color w:val="000000"/>
          <w:sz w:val="24"/>
          <w:szCs w:val="24"/>
        </w:rPr>
        <w:t xml:space="preserve">Veri sızıntısını önlemek amacıyla aynı VariationID'nin farklı katlarda yer almaması garanti edilmiştir. Tüm ölçekleme ve imputation adımları her katlama içinde bağımsız olarak uygulanmış; test seti hiçbir aşamada eğitim istatistiklerine erişmemiştir.</w:t>
      </w:r>
    </w:p>
    <w:p>
      <w:pPr>
        <w:pStyle w:val="Heading2"/>
        <w:spacing w:line="276" w:lineRule="auto" w:before="140" w:after="80"/>
        <w:jc w:val="left"/>
      </w:pPr>
      <w:r>
        <w:rPr>
          <w:rFonts w:ascii="Aptos" w:cs="Aptos" w:eastAsia="Aptos" w:hAnsi="Aptos"/>
          <w:b/>
          <w:bCs/>
          <w:color w:val="000000"/>
          <w:sz w:val="26"/>
          <w:szCs w:val="26"/>
        </w:rPr>
        <w:t xml:space="preserve">4.2 Performans Metrikleri ve Panel Bazlı Raporlama</w:t>
      </w:r>
    </w:p>
    <w:p>
      <w:pPr>
        <w:spacing w:line="276" w:lineRule="auto" w:before="0" w:after="120"/>
        <w:jc w:val="both"/>
      </w:pPr>
      <w:r>
        <w:rPr>
          <w:rFonts w:ascii="Aptos" w:cs="Aptos" w:eastAsia="Aptos" w:hAnsi="Aptos"/>
          <w:b w:val="false"/>
          <w:bCs w:val="false"/>
          <w:i w:val="false"/>
          <w:iCs w:val="false"/>
          <w:color w:val="000000"/>
          <w:sz w:val="24"/>
          <w:szCs w:val="24"/>
        </w:rPr>
        <w:t xml:space="preserve">Sınıflar arası dengesizlik ve klinik risk önceliği gözetilerek ana metrik olarak </w:t>
      </w:r>
      <w:r>
        <w:rPr>
          <w:rFonts w:ascii="Aptos" w:cs="Aptos" w:eastAsia="Aptos" w:hAnsi="Aptos"/>
          <w:b/>
          <w:bCs/>
          <w:i w:val="false"/>
          <w:iCs w:val="false"/>
          <w:color w:val="000000"/>
          <w:sz w:val="24"/>
          <w:szCs w:val="24"/>
        </w:rPr>
        <w:t xml:space="preserve">F1-Score</w:t>
      </w:r>
      <w:r>
        <w:rPr>
          <w:rFonts w:ascii="Aptos" w:cs="Aptos" w:eastAsia="Aptos" w:hAnsi="Aptos"/>
          <w:b w:val="false"/>
          <w:bCs w:val="false"/>
          <w:i w:val="false"/>
          <w:iCs w:val="false"/>
          <w:color w:val="000000"/>
          <w:sz w:val="24"/>
          <w:szCs w:val="24"/>
        </w:rPr>
        <w:t xml:space="preserve"> seçilmiştir. ROC-AUC, Precision, Recall ve Matthews Korelasyon Katsayısı (MCC) tamamlayıcı metrikler olarak raporlanmıştır.</w:t>
      </w:r>
    </w:p>
    <w:p>
      <w:pPr>
        <w:spacing w:line="276" w:after="0" w:before="0"/>
      </w:pPr>
      <w:r>
        <w:rPr>
          <w:rFonts w:ascii="Aptos" w:cs="Aptos" w:eastAsia="Aptos" w:hAnsi="Aptos"/>
          <w:b w:val="false"/>
          <w:bCs w:val="false"/>
          <w:i w:val="false"/>
          <w:iCs w:val="false"/>
          <w:color w:val="000000"/>
          <w:sz w:val="24"/>
          <w:szCs w:val="24"/>
        </w:rP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265"/>
        <w:gridCol w:w="1451"/>
        <w:gridCol w:w="1451"/>
        <w:gridCol w:w="1451"/>
        <w:gridCol w:w="1451"/>
      </w:tblGrid>
      <w:tr>
        <w:tc>
          <w:tcPr>
            <w:tcW w:type="dxa" w:w="3265"/>
            <w:tcBorders>
              <w:top w:val="single" w:color="AAAAAA" w:sz="1"/>
              <w:left w:val="single" w:color="AAAAAA" w:sz="1"/>
              <w:bottom w:val="single" w:color="AAAAAA" w:sz="1"/>
              <w:right w:val="single" w:color="AAAAAA" w:sz="1"/>
            </w:tcBorders>
            <w:shd w:fill="E2EEF9" w:val="clear"/>
            <w:tcMar>
              <w:top w:type="dxa" w:w="80"/>
              <w:left w:type="dxa" w:w="120"/>
              <w:bottom w:type="dxa" w:w="80"/>
              <w:right w:type="dxa" w:w="120"/>
            </w:tcMar>
            <w:vAlign w:val="center"/>
          </w:tcPr>
          <w:p>
            <w:pPr>
              <w:spacing w:line="276" w:after="0"/>
              <w:jc w:val="center"/>
            </w:pPr>
            <w:r>
              <w:rPr>
                <w:rFonts w:ascii="Aptos" w:cs="Aptos" w:eastAsia="Aptos" w:hAnsi="Aptos"/>
                <w:b/>
                <w:bCs/>
                <w:color w:val="000000"/>
                <w:sz w:val="22"/>
                <w:szCs w:val="22"/>
              </w:rPr>
              <w:t xml:space="preserve">Panel / Küme</w:t>
            </w:r>
          </w:p>
        </w:tc>
        <w:tc>
          <w:tcPr>
            <w:tcW w:type="dxa" w:w="1451"/>
            <w:tcBorders>
              <w:top w:val="single" w:color="AAAAAA" w:sz="1"/>
              <w:left w:val="single" w:color="AAAAAA" w:sz="1"/>
              <w:bottom w:val="single" w:color="AAAAAA" w:sz="1"/>
              <w:right w:val="single" w:color="AAAAAA" w:sz="1"/>
            </w:tcBorders>
            <w:shd w:fill="E2EEF9" w:val="clear"/>
            <w:tcMar>
              <w:top w:type="dxa" w:w="80"/>
              <w:left w:type="dxa" w:w="120"/>
              <w:bottom w:type="dxa" w:w="80"/>
              <w:right w:type="dxa" w:w="120"/>
            </w:tcMar>
            <w:vAlign w:val="center"/>
          </w:tcPr>
          <w:p>
            <w:pPr>
              <w:spacing w:line="276" w:after="0"/>
              <w:jc w:val="center"/>
            </w:pPr>
            <w:r>
              <w:rPr>
                <w:rFonts w:ascii="Aptos" w:cs="Aptos" w:eastAsia="Aptos" w:hAnsi="Aptos"/>
                <w:b/>
                <w:bCs/>
                <w:color w:val="000000"/>
                <w:sz w:val="22"/>
                <w:szCs w:val="22"/>
              </w:rPr>
              <w:t xml:space="preserve">F1-Score</w:t>
            </w:r>
          </w:p>
        </w:tc>
        <w:tc>
          <w:tcPr>
            <w:tcW w:type="dxa" w:w="1451"/>
            <w:tcBorders>
              <w:top w:val="single" w:color="AAAAAA" w:sz="1"/>
              <w:left w:val="single" w:color="AAAAAA" w:sz="1"/>
              <w:bottom w:val="single" w:color="AAAAAA" w:sz="1"/>
              <w:right w:val="single" w:color="AAAAAA" w:sz="1"/>
            </w:tcBorders>
            <w:shd w:fill="E2EEF9" w:val="clear"/>
            <w:tcMar>
              <w:top w:type="dxa" w:w="80"/>
              <w:left w:type="dxa" w:w="120"/>
              <w:bottom w:type="dxa" w:w="80"/>
              <w:right w:type="dxa" w:w="120"/>
            </w:tcMar>
            <w:vAlign w:val="center"/>
          </w:tcPr>
          <w:p>
            <w:pPr>
              <w:spacing w:line="276" w:after="0"/>
              <w:jc w:val="center"/>
            </w:pPr>
            <w:r>
              <w:rPr>
                <w:rFonts w:ascii="Aptos" w:cs="Aptos" w:eastAsia="Aptos" w:hAnsi="Aptos"/>
                <w:b/>
                <w:bCs/>
                <w:color w:val="000000"/>
                <w:sz w:val="22"/>
                <w:szCs w:val="22"/>
              </w:rPr>
              <w:t xml:space="preserve">ROC-AUC</w:t>
            </w:r>
          </w:p>
        </w:tc>
        <w:tc>
          <w:tcPr>
            <w:tcW w:type="dxa" w:w="1451"/>
            <w:tcBorders>
              <w:top w:val="single" w:color="AAAAAA" w:sz="1"/>
              <w:left w:val="single" w:color="AAAAAA" w:sz="1"/>
              <w:bottom w:val="single" w:color="AAAAAA" w:sz="1"/>
              <w:right w:val="single" w:color="AAAAAA" w:sz="1"/>
            </w:tcBorders>
            <w:shd w:fill="E2EEF9" w:val="clear"/>
            <w:tcMar>
              <w:top w:type="dxa" w:w="80"/>
              <w:left w:type="dxa" w:w="120"/>
              <w:bottom w:type="dxa" w:w="80"/>
              <w:right w:type="dxa" w:w="120"/>
            </w:tcMar>
            <w:vAlign w:val="center"/>
          </w:tcPr>
          <w:p>
            <w:pPr>
              <w:spacing w:line="276" w:after="0"/>
              <w:jc w:val="center"/>
            </w:pPr>
            <w:r>
              <w:rPr>
                <w:rFonts w:ascii="Aptos" w:cs="Aptos" w:eastAsia="Aptos" w:hAnsi="Aptos"/>
                <w:b/>
                <w:bCs/>
                <w:color w:val="000000"/>
                <w:sz w:val="22"/>
                <w:szCs w:val="22"/>
              </w:rPr>
              <w:t xml:space="preserve">Precision</w:t>
            </w:r>
          </w:p>
        </w:tc>
        <w:tc>
          <w:tcPr>
            <w:tcW w:type="dxa" w:w="1451"/>
            <w:tcBorders>
              <w:top w:val="single" w:color="AAAAAA" w:sz="1"/>
              <w:left w:val="single" w:color="AAAAAA" w:sz="1"/>
              <w:bottom w:val="single" w:color="AAAAAA" w:sz="1"/>
              <w:right w:val="single" w:color="AAAAAA" w:sz="1"/>
            </w:tcBorders>
            <w:shd w:fill="E2EEF9" w:val="clear"/>
            <w:tcMar>
              <w:top w:type="dxa" w:w="80"/>
              <w:left w:type="dxa" w:w="120"/>
              <w:bottom w:type="dxa" w:w="80"/>
              <w:right w:type="dxa" w:w="120"/>
            </w:tcMar>
            <w:vAlign w:val="center"/>
          </w:tcPr>
          <w:p>
            <w:pPr>
              <w:spacing w:line="276" w:after="0"/>
              <w:jc w:val="center"/>
            </w:pPr>
            <w:r>
              <w:rPr>
                <w:rFonts w:ascii="Aptos" w:cs="Aptos" w:eastAsia="Aptos" w:hAnsi="Aptos"/>
                <w:b/>
                <w:bCs/>
                <w:color w:val="000000"/>
                <w:sz w:val="22"/>
                <w:szCs w:val="22"/>
              </w:rPr>
              <w:t xml:space="preserve">Recall</w:t>
            </w:r>
          </w:p>
        </w:tc>
      </w:tr>
      <w:tr>
        <w:tc>
          <w:tcPr>
            <w:tcW w:type="dxa" w:w="326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76" w:after="0"/>
              <w:jc w:val="center"/>
            </w:pPr>
            <w:r>
              <w:rPr>
                <w:rFonts w:ascii="Aptos" w:cs="Aptos" w:eastAsia="Aptos" w:hAnsi="Aptos"/>
                <w:b w:val="false"/>
                <w:bCs w:val="false"/>
                <w:color w:val="000000"/>
                <w:sz w:val="22"/>
                <w:szCs w:val="22"/>
              </w:rPr>
              <w:t xml:space="preserve">Genel Test Seti</w:t>
            </w:r>
          </w:p>
        </w:tc>
        <w:tc>
          <w:tcPr>
            <w:tcW w:type="dxa" w:w="145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76" w:after="0"/>
              <w:jc w:val="center"/>
            </w:pPr>
            <w:r>
              <w:rPr>
                <w:rFonts w:ascii="Aptos" w:cs="Aptos" w:eastAsia="Aptos" w:hAnsi="Aptos"/>
                <w:b w:val="false"/>
                <w:bCs w:val="false"/>
                <w:color w:val="000000"/>
                <w:sz w:val="22"/>
                <w:szCs w:val="22"/>
              </w:rPr>
              <w:t xml:space="preserve">%96.28</w:t>
            </w:r>
          </w:p>
        </w:tc>
        <w:tc>
          <w:tcPr>
            <w:tcW w:type="dxa" w:w="145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76" w:after="0"/>
              <w:jc w:val="center"/>
            </w:pPr>
            <w:r>
              <w:rPr>
                <w:rFonts w:ascii="Aptos" w:cs="Aptos" w:eastAsia="Aptos" w:hAnsi="Aptos"/>
                <w:b w:val="false"/>
                <w:bCs w:val="false"/>
                <w:color w:val="000000"/>
                <w:sz w:val="22"/>
                <w:szCs w:val="22"/>
              </w:rPr>
              <w:t xml:space="preserve">0.99</w:t>
            </w:r>
          </w:p>
        </w:tc>
        <w:tc>
          <w:tcPr>
            <w:tcW w:type="dxa" w:w="145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76" w:after="0"/>
              <w:jc w:val="center"/>
            </w:pPr>
            <w:r>
              <w:rPr>
                <w:rFonts w:ascii="Aptos" w:cs="Aptos" w:eastAsia="Aptos" w:hAnsi="Aptos"/>
                <w:b w:val="false"/>
                <w:bCs w:val="false"/>
                <w:color w:val="000000"/>
                <w:sz w:val="22"/>
                <w:szCs w:val="22"/>
              </w:rPr>
              <w:t xml:space="preserve">—</w:t>
            </w:r>
          </w:p>
        </w:tc>
        <w:tc>
          <w:tcPr>
            <w:tcW w:type="dxa" w:w="145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76" w:after="0"/>
              <w:jc w:val="center"/>
            </w:pPr>
            <w:r>
              <w:rPr>
                <w:rFonts w:ascii="Aptos" w:cs="Aptos" w:eastAsia="Aptos" w:hAnsi="Aptos"/>
                <w:b w:val="false"/>
                <w:bCs w:val="false"/>
                <w:color w:val="000000"/>
                <w:sz w:val="22"/>
                <w:szCs w:val="22"/>
              </w:rPr>
              <w:t xml:space="preserve">—</w:t>
            </w:r>
          </w:p>
        </w:tc>
      </w:tr>
      <w:tr>
        <w:tc>
          <w:tcPr>
            <w:tcW w:type="dxa" w:w="326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76" w:after="0"/>
              <w:jc w:val="center"/>
            </w:pPr>
            <w:r>
              <w:rPr>
                <w:rFonts w:ascii="Aptos" w:cs="Aptos" w:eastAsia="Aptos" w:hAnsi="Aptos"/>
                <w:b w:val="false"/>
                <w:bCs w:val="false"/>
                <w:color w:val="000000"/>
                <w:sz w:val="22"/>
                <w:szCs w:val="22"/>
              </w:rPr>
              <w:t xml:space="preserve">PTEN, GCK, FOXN1 genleri</w:t>
            </w:r>
          </w:p>
        </w:tc>
        <w:tc>
          <w:tcPr>
            <w:tcW w:type="dxa" w:w="145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76" w:after="0"/>
              <w:jc w:val="center"/>
            </w:pPr>
            <w:r>
              <w:rPr>
                <w:rFonts w:ascii="Aptos" w:cs="Aptos" w:eastAsia="Aptos" w:hAnsi="Aptos"/>
                <w:b w:val="false"/>
                <w:bCs w:val="false"/>
                <w:color w:val="000000"/>
                <w:sz w:val="22"/>
                <w:szCs w:val="22"/>
              </w:rPr>
              <w:t xml:space="preserve">1.00</w:t>
            </w:r>
          </w:p>
        </w:tc>
        <w:tc>
          <w:tcPr>
            <w:tcW w:type="dxa" w:w="145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76" w:after="0"/>
              <w:jc w:val="center"/>
            </w:pPr>
            <w:r>
              <w:rPr>
                <w:rFonts w:ascii="Aptos" w:cs="Aptos" w:eastAsia="Aptos" w:hAnsi="Aptos"/>
                <w:b w:val="false"/>
                <w:bCs w:val="false"/>
                <w:color w:val="000000"/>
                <w:sz w:val="22"/>
                <w:szCs w:val="22"/>
              </w:rPr>
              <w:t xml:space="preserve">—</w:t>
            </w:r>
          </w:p>
        </w:tc>
        <w:tc>
          <w:tcPr>
            <w:tcW w:type="dxa" w:w="145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76" w:after="0"/>
              <w:jc w:val="center"/>
            </w:pPr>
            <w:r>
              <w:rPr>
                <w:rFonts w:ascii="Aptos" w:cs="Aptos" w:eastAsia="Aptos" w:hAnsi="Aptos"/>
                <w:b w:val="false"/>
                <w:bCs w:val="false"/>
                <w:color w:val="000000"/>
                <w:sz w:val="22"/>
                <w:szCs w:val="22"/>
              </w:rPr>
              <w:t xml:space="preserve">—</w:t>
            </w:r>
          </w:p>
        </w:tc>
        <w:tc>
          <w:tcPr>
            <w:tcW w:type="dxa" w:w="145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76" w:after="0"/>
              <w:jc w:val="center"/>
            </w:pPr>
            <w:r>
              <w:rPr>
                <w:rFonts w:ascii="Aptos" w:cs="Aptos" w:eastAsia="Aptos" w:hAnsi="Aptos"/>
                <w:b w:val="false"/>
                <w:bCs w:val="false"/>
                <w:color w:val="000000"/>
                <w:sz w:val="22"/>
                <w:szCs w:val="22"/>
              </w:rPr>
              <w:t xml:space="preserve">—</w:t>
            </w:r>
          </w:p>
        </w:tc>
      </w:tr>
      <w:tr>
        <w:tc>
          <w:tcPr>
            <w:tcW w:type="dxa" w:w="326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76" w:after="0"/>
              <w:jc w:val="center"/>
            </w:pPr>
            <w:r>
              <w:rPr>
                <w:rFonts w:ascii="Aptos" w:cs="Aptos" w:eastAsia="Aptos" w:hAnsi="Aptos"/>
                <w:b w:val="false"/>
                <w:bCs w:val="false"/>
                <w:color w:val="000000"/>
                <w:sz w:val="22"/>
                <w:szCs w:val="22"/>
              </w:rPr>
              <w:t xml:space="preserve">BMPR2 geni</w:t>
            </w:r>
          </w:p>
        </w:tc>
        <w:tc>
          <w:tcPr>
            <w:tcW w:type="dxa" w:w="145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76" w:after="0"/>
              <w:jc w:val="center"/>
            </w:pPr>
            <w:r>
              <w:rPr>
                <w:rFonts w:ascii="Aptos" w:cs="Aptos" w:eastAsia="Aptos" w:hAnsi="Aptos"/>
                <w:b w:val="false"/>
                <w:bCs w:val="false"/>
                <w:color w:val="000000"/>
                <w:sz w:val="22"/>
                <w:szCs w:val="22"/>
              </w:rPr>
              <w:t xml:space="preserve">~%75</w:t>
            </w:r>
          </w:p>
        </w:tc>
        <w:tc>
          <w:tcPr>
            <w:tcW w:type="dxa" w:w="145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76" w:after="0"/>
              <w:jc w:val="center"/>
            </w:pPr>
            <w:r>
              <w:rPr>
                <w:rFonts w:ascii="Aptos" w:cs="Aptos" w:eastAsia="Aptos" w:hAnsi="Aptos"/>
                <w:b w:val="false"/>
                <w:bCs w:val="false"/>
                <w:color w:val="000000"/>
                <w:sz w:val="22"/>
                <w:szCs w:val="22"/>
              </w:rPr>
              <w:t xml:space="preserve">—</w:t>
            </w:r>
          </w:p>
        </w:tc>
        <w:tc>
          <w:tcPr>
            <w:tcW w:type="dxa" w:w="145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76" w:after="0"/>
              <w:jc w:val="center"/>
            </w:pPr>
            <w:r>
              <w:rPr>
                <w:rFonts w:ascii="Aptos" w:cs="Aptos" w:eastAsia="Aptos" w:hAnsi="Aptos"/>
                <w:b w:val="false"/>
                <w:bCs w:val="false"/>
                <w:color w:val="000000"/>
                <w:sz w:val="22"/>
                <w:szCs w:val="22"/>
              </w:rPr>
              <w:t xml:space="preserve">—</w:t>
            </w:r>
          </w:p>
        </w:tc>
        <w:tc>
          <w:tcPr>
            <w:tcW w:type="dxa" w:w="145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76" w:after="0"/>
              <w:jc w:val="center"/>
            </w:pPr>
            <w:r>
              <w:rPr>
                <w:rFonts w:ascii="Aptos" w:cs="Aptos" w:eastAsia="Aptos" w:hAnsi="Aptos"/>
                <w:b w:val="false"/>
                <w:bCs w:val="false"/>
                <w:color w:val="000000"/>
                <w:sz w:val="22"/>
                <w:szCs w:val="22"/>
              </w:rPr>
              <w:t xml:space="preserve">—</w:t>
            </w:r>
          </w:p>
        </w:tc>
      </w:tr>
      <w:tr>
        <w:tc>
          <w:tcPr>
            <w:tcW w:type="dxa" w:w="326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76" w:after="0"/>
              <w:jc w:val="center"/>
            </w:pPr>
            <w:r>
              <w:rPr>
                <w:rFonts w:ascii="Aptos" w:cs="Aptos" w:eastAsia="Aptos" w:hAnsi="Aptos"/>
                <w:b w:val="false"/>
                <w:bCs w:val="false"/>
                <w:color w:val="000000"/>
                <w:sz w:val="22"/>
                <w:szCs w:val="22"/>
              </w:rPr>
              <w:t xml:space="preserve">VWF geni</w:t>
            </w:r>
          </w:p>
        </w:tc>
        <w:tc>
          <w:tcPr>
            <w:tcW w:type="dxa" w:w="145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76" w:after="0"/>
              <w:jc w:val="center"/>
            </w:pPr>
            <w:r>
              <w:rPr>
                <w:rFonts w:ascii="Aptos" w:cs="Aptos" w:eastAsia="Aptos" w:hAnsi="Aptos"/>
                <w:b w:val="false"/>
                <w:bCs w:val="false"/>
                <w:color w:val="000000"/>
                <w:sz w:val="22"/>
                <w:szCs w:val="22"/>
              </w:rPr>
              <w:t xml:space="preserve">~%66.6</w:t>
            </w:r>
          </w:p>
        </w:tc>
        <w:tc>
          <w:tcPr>
            <w:tcW w:type="dxa" w:w="145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76" w:after="0"/>
              <w:jc w:val="center"/>
            </w:pPr>
            <w:r>
              <w:rPr>
                <w:rFonts w:ascii="Aptos" w:cs="Aptos" w:eastAsia="Aptos" w:hAnsi="Aptos"/>
                <w:b w:val="false"/>
                <w:bCs w:val="false"/>
                <w:color w:val="000000"/>
                <w:sz w:val="22"/>
                <w:szCs w:val="22"/>
              </w:rPr>
              <w:t xml:space="preserve">—</w:t>
            </w:r>
          </w:p>
        </w:tc>
        <w:tc>
          <w:tcPr>
            <w:tcW w:type="dxa" w:w="145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76" w:after="0"/>
              <w:jc w:val="center"/>
            </w:pPr>
            <w:r>
              <w:rPr>
                <w:rFonts w:ascii="Aptos" w:cs="Aptos" w:eastAsia="Aptos" w:hAnsi="Aptos"/>
                <w:b w:val="false"/>
                <w:bCs w:val="false"/>
                <w:color w:val="000000"/>
                <w:sz w:val="22"/>
                <w:szCs w:val="22"/>
              </w:rPr>
              <w:t xml:space="preserve">—</w:t>
            </w:r>
          </w:p>
        </w:tc>
        <w:tc>
          <w:tcPr>
            <w:tcW w:type="dxa" w:w="145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76" w:after="0"/>
              <w:jc w:val="center"/>
            </w:pPr>
            <w:r>
              <w:rPr>
                <w:rFonts w:ascii="Aptos" w:cs="Aptos" w:eastAsia="Aptos" w:hAnsi="Aptos"/>
                <w:b w:val="false"/>
                <w:bCs w:val="false"/>
                <w:color w:val="000000"/>
                <w:sz w:val="22"/>
                <w:szCs w:val="22"/>
              </w:rPr>
              <w:t xml:space="preserve">—</w:t>
            </w:r>
          </w:p>
        </w:tc>
      </w:tr>
    </w:tbl>
    <w:p>
      <w:pPr>
        <w:spacing w:line="276" w:after="0" w:before="0"/>
      </w:pPr>
      <w:r>
        <w:rPr>
          <w:rFonts w:ascii="Aptos" w:cs="Aptos" w:eastAsia="Aptos" w:hAnsi="Aptos"/>
          <w:b w:val="false"/>
          <w:bCs w:val="false"/>
          <w:i w:val="false"/>
          <w:iCs w:val="false"/>
          <w:color w:val="000000"/>
          <w:sz w:val="24"/>
          <w:szCs w:val="24"/>
        </w:rPr>
        <w:t xml:space="preserve"/>
      </w:r>
    </w:p>
    <w:p>
      <w:pPr>
        <w:spacing w:line="276" w:lineRule="auto" w:before="0" w:after="120"/>
        <w:jc w:val="both"/>
      </w:pPr>
      <w:r>
        <w:rPr>
          <w:rFonts w:ascii="Aptos" w:cs="Aptos" w:eastAsia="Aptos" w:hAnsi="Aptos"/>
          <w:b w:val="false"/>
          <w:bCs w:val="false"/>
          <w:i w:val="false"/>
          <w:iCs w:val="false"/>
          <w:color w:val="000000"/>
          <w:sz w:val="24"/>
          <w:szCs w:val="24"/>
        </w:rPr>
        <w:t xml:space="preserve">Karar eşiği (threshold) F1-Score'u maksimize eden </w:t>
      </w:r>
      <w:r>
        <w:rPr>
          <w:rFonts w:ascii="Aptos" w:cs="Aptos" w:eastAsia="Aptos" w:hAnsi="Aptos"/>
          <w:b/>
          <w:bCs/>
          <w:i w:val="false"/>
          <w:iCs w:val="false"/>
          <w:color w:val="000000"/>
          <w:sz w:val="24"/>
          <w:szCs w:val="24"/>
        </w:rPr>
        <w:t xml:space="preserve">0.42</w:t>
      </w:r>
      <w:r>
        <w:rPr>
          <w:rFonts w:ascii="Aptos" w:cs="Aptos" w:eastAsia="Aptos" w:hAnsi="Aptos"/>
          <w:b w:val="false"/>
          <w:bCs w:val="false"/>
          <w:i w:val="false"/>
          <w:iCs w:val="false"/>
          <w:color w:val="000000"/>
          <w:sz w:val="24"/>
          <w:szCs w:val="24"/>
        </w:rPr>
        <w:t xml:space="preserve"> değerine sabitlenmiştir. Klinik uygulamada Yanlış Pozitif oranını minimize etmek için eşiğin 0.30–0.70 bandında esnetilebileceği de manuel olarak test edilmiştir. BMPR2 ve VWF genlerindeki görece düşük performans, bu genlere ait sınırlı örnek sayısından ve biyolojik sınırlamalardan kaynaklanmaktadır.</w:t>
      </w:r>
    </w:p>
    <w:p>
      <w:pPr>
        <w:pStyle w:val="Heading2"/>
        <w:spacing w:line="276" w:lineRule="auto" w:before="140" w:after="80"/>
        <w:jc w:val="left"/>
      </w:pPr>
      <w:r>
        <w:rPr>
          <w:rFonts w:ascii="Aptos" w:cs="Aptos" w:eastAsia="Aptos" w:hAnsi="Aptos"/>
          <w:b/>
          <w:bCs/>
          <w:color w:val="000000"/>
          <w:sz w:val="26"/>
          <w:szCs w:val="26"/>
        </w:rPr>
        <w:t xml:space="preserve">4.3 Hata Analizi ve Model Davranışı</w:t>
      </w:r>
    </w:p>
    <w:p>
      <w:pPr>
        <w:spacing w:line="276" w:lineRule="auto" w:before="0" w:after="120"/>
        <w:jc w:val="both"/>
      </w:pPr>
      <w:r>
        <w:rPr>
          <w:rFonts w:ascii="Aptos" w:cs="Aptos" w:eastAsia="Aptos" w:hAnsi="Aptos"/>
          <w:b w:val="false"/>
          <w:bCs w:val="false"/>
          <w:i w:val="false"/>
          <w:iCs w:val="false"/>
          <w:color w:val="000000"/>
          <w:sz w:val="24"/>
          <w:szCs w:val="24"/>
        </w:rPr>
        <w:t xml:space="preserve">Bağımsız test setindeki 55 Yanlış Pozitif (FP) ve 46 Yanlış Negatif (FN) örnek incelendiğinde üç ortak desen tespit edilmiştir:</w:t>
      </w:r>
    </w:p>
    <w:p>
      <w:pPr>
        <w:spacing w:line="276" w:lineRule="auto" w:before="0" w:after="120"/>
        <w:jc w:val="both"/>
      </w:pPr>
      <w:r>
        <w:rPr>
          <w:rFonts w:ascii="Aptos" w:cs="Aptos" w:eastAsia="Aptos" w:hAnsi="Aptos"/>
          <w:b/>
          <w:bCs/>
          <w:i w:val="false"/>
          <w:iCs w:val="false"/>
          <w:color w:val="000000"/>
          <w:sz w:val="24"/>
          <w:szCs w:val="24"/>
        </w:rPr>
        <w:t xml:space="preserve">Gri Bölge Yoğunlaşması: </w:t>
      </w:r>
      <w:r>
        <w:rPr>
          <w:rFonts w:ascii="Aptos" w:cs="Aptos" w:eastAsia="Aptos" w:hAnsi="Aptos"/>
          <w:b w:val="false"/>
          <w:bCs w:val="false"/>
          <w:i w:val="false"/>
          <w:iCs w:val="false"/>
          <w:color w:val="000000"/>
          <w:sz w:val="24"/>
          <w:szCs w:val="24"/>
        </w:rPr>
        <w:t xml:space="preserve">Hataların büyük çoğunluğu in-silico risk skoru bileşiminin (REVEL, AlphaMissense) 0.4–0.6 aralığında kaldığı belirsiz vakalarda yoğunlaşmaktadır. Bu varyantlar için hiçbir tekil skor güçlü bir sinyal üretememektedir.</w:t>
      </w:r>
    </w:p>
    <w:p>
      <w:pPr>
        <w:spacing w:line="276" w:lineRule="auto" w:before="0" w:after="120"/>
        <w:jc w:val="both"/>
      </w:pPr>
      <w:r>
        <w:rPr>
          <w:rFonts w:ascii="Aptos" w:cs="Aptos" w:eastAsia="Aptos" w:hAnsi="Aptos"/>
          <w:b/>
          <w:bCs/>
          <w:i w:val="false"/>
          <w:iCs w:val="false"/>
          <w:color w:val="000000"/>
          <w:sz w:val="24"/>
          <w:szCs w:val="24"/>
        </w:rPr>
        <w:t xml:space="preserve">Popülasyon Frekansı Eksikliği: </w:t>
      </w:r>
      <w:r>
        <w:rPr>
          <w:rFonts w:ascii="Aptos" w:cs="Aptos" w:eastAsia="Aptos" w:hAnsi="Aptos"/>
          <w:b w:val="false"/>
          <w:bCs w:val="false"/>
          <w:i w:val="false"/>
          <w:iCs w:val="false"/>
          <w:color w:val="000000"/>
          <w:sz w:val="24"/>
          <w:szCs w:val="24"/>
        </w:rPr>
        <w:t xml:space="preserve">Nadir görülen ancak Benign etiketli varyantlar, gnomAD frekans bilgisi eksik olduğunda model tarafından patojenik olarak sınıflandırılmaya meyillidir. Bu bulgu, imputation stratejisinin bu grup için ek dikkat gerektirdiğine işaret etmektedir.</w:t>
      </w:r>
    </w:p>
    <w:p>
      <w:pPr>
        <w:spacing w:line="276" w:lineRule="auto" w:before="0" w:after="120"/>
        <w:jc w:val="both"/>
      </w:pPr>
      <w:r>
        <w:rPr>
          <w:rFonts w:ascii="Aptos" w:cs="Aptos" w:eastAsia="Aptos" w:hAnsi="Aptos"/>
          <w:b/>
          <w:bCs/>
          <w:i w:val="false"/>
          <w:iCs w:val="false"/>
          <w:color w:val="000000"/>
          <w:sz w:val="24"/>
          <w:szCs w:val="24"/>
        </w:rPr>
        <w:t xml:space="preserve">Biyokimyasal Tolerans Sınır Vakaları: </w:t>
      </w:r>
      <w:r>
        <w:rPr>
          <w:rFonts w:ascii="Aptos" w:cs="Aptos" w:eastAsia="Aptos" w:hAnsi="Aptos"/>
          <w:b w:val="false"/>
          <w:bCs w:val="false"/>
          <w:i w:val="false"/>
          <w:iCs w:val="false"/>
          <w:color w:val="000000"/>
          <w:sz w:val="24"/>
          <w:szCs w:val="24"/>
        </w:rPr>
        <w:t xml:space="preserve">Delta_MW değerinin düşük olduğu (fizikokimyasal değişimin küçük göründüğü) ancak proteinin kritik fonksiyonel bölgesinde gerçekleşen mutasyonlarda model Benign yönünde hata yapmaktadır. Bu durum, yapısal konum bilgisinin özellik setine eklenmesinin gelecek iterasyonlarda performansı artırabileceğini göstermektedir.</w:t>
      </w:r>
    </w:p>
    <w:p>
      <w:pPr>
        <w:pStyle w:val="Heading2"/>
        <w:spacing w:line="276" w:lineRule="auto" w:before="140" w:after="80"/>
        <w:jc w:val="left"/>
      </w:pPr>
      <w:r>
        <w:rPr>
          <w:rFonts w:ascii="Aptos" w:cs="Aptos" w:eastAsia="Aptos" w:hAnsi="Aptos"/>
          <w:b/>
          <w:bCs/>
          <w:color w:val="000000"/>
          <w:sz w:val="26"/>
          <w:szCs w:val="26"/>
        </w:rPr>
        <w:t xml:space="preserve">4.4 "Model Neden Böyle Karar Verdi?" – Açıklanabilirlik Yaklaşımı</w:t>
      </w:r>
    </w:p>
    <w:p>
      <w:pPr>
        <w:spacing w:line="276" w:lineRule="auto" w:before="0" w:after="120"/>
        <w:jc w:val="both"/>
      </w:pPr>
      <w:r>
        <w:rPr>
          <w:rFonts w:ascii="Aptos" w:cs="Aptos" w:eastAsia="Aptos" w:hAnsi="Aptos"/>
          <w:b w:val="false"/>
          <w:bCs w:val="false"/>
          <w:i w:val="false"/>
          <w:iCs w:val="false"/>
          <w:color w:val="000000"/>
          <w:sz w:val="24"/>
          <w:szCs w:val="24"/>
        </w:rPr>
        <w:t xml:space="preserve">Model kararlarının şeffaflaştırılması için CatBoost uzmanlarında </w:t>
      </w:r>
      <w:r>
        <w:rPr>
          <w:rFonts w:ascii="Aptos" w:cs="Aptos" w:eastAsia="Aptos" w:hAnsi="Aptos"/>
          <w:b/>
          <w:bCs/>
          <w:i w:val="false"/>
          <w:iCs w:val="false"/>
          <w:color w:val="000000"/>
          <w:sz w:val="24"/>
          <w:szCs w:val="24"/>
        </w:rPr>
        <w:t xml:space="preserve">TreeSHAP</w:t>
      </w:r>
      <w:r>
        <w:rPr>
          <w:rFonts w:ascii="Aptos" w:cs="Aptos" w:eastAsia="Aptos" w:hAnsi="Aptos"/>
          <w:b w:val="false"/>
          <w:bCs w:val="false"/>
          <w:i w:val="false"/>
          <w:iCs w:val="false"/>
          <w:color w:val="000000"/>
          <w:sz w:val="24"/>
          <w:szCs w:val="24"/>
        </w:rPr>
        <w:t xml:space="preserve">, CNN kolunda </w:t>
      </w:r>
      <w:r>
        <w:rPr>
          <w:rFonts w:ascii="Aptos" w:cs="Aptos" w:eastAsia="Aptos" w:hAnsi="Aptos"/>
          <w:b/>
          <w:bCs/>
          <w:i w:val="false"/>
          <w:iCs w:val="false"/>
          <w:color w:val="000000"/>
          <w:sz w:val="24"/>
          <w:szCs w:val="24"/>
        </w:rPr>
        <w:t xml:space="preserve">DeepSHAP</w:t>
      </w:r>
      <w:r>
        <w:rPr>
          <w:rFonts w:ascii="Aptos" w:cs="Aptos" w:eastAsia="Aptos" w:hAnsi="Aptos"/>
          <w:b w:val="false"/>
          <w:bCs w:val="false"/>
          <w:i w:val="false"/>
          <w:iCs w:val="false"/>
          <w:color w:val="000000"/>
          <w:sz w:val="24"/>
          <w:szCs w:val="24"/>
        </w:rPr>
        <w:t xml:space="preserve"> kullanılmıştır. Kolon isimleri gizli olduğundan açıklama dili özellik grupları düzeyinde tutulmuştur:</w:t>
      </w:r>
    </w:p>
    <w:p>
      <w:pPr>
        <w:spacing w:line="276" w:lineRule="auto" w:before="0" w:after="120"/>
        <w:ind w:left="400"/>
        <w:jc w:val="both"/>
      </w:pPr>
      <w:r>
        <w:rPr>
          <w:rFonts w:ascii="Aptos" w:cs="Aptos" w:eastAsia="Aptos" w:hAnsi="Aptos"/>
          <w:b/>
          <w:bCs/>
          <w:i w:val="false"/>
          <w:iCs w:val="false"/>
          <w:color w:val="000000"/>
          <w:sz w:val="24"/>
          <w:szCs w:val="24"/>
        </w:rPr>
        <w:t xml:space="preserve">In-silico Risk Skorları: </w:t>
      </w:r>
      <w:r>
        <w:rPr>
          <w:rFonts w:ascii="Aptos" w:cs="Aptos" w:eastAsia="Aptos" w:hAnsi="Aptos"/>
          <w:b w:val="false"/>
          <w:bCs w:val="false"/>
          <w:i w:val="false"/>
          <w:iCs w:val="false"/>
          <w:color w:val="000000"/>
          <w:sz w:val="24"/>
          <w:szCs w:val="24"/>
        </w:rPr>
        <w:t xml:space="preserve">REVEL ve AlphaMissense skorları karar sürecinin birincil belirleyicileridir.</w:t>
      </w:r>
    </w:p>
    <w:p>
      <w:pPr>
        <w:spacing w:line="276" w:lineRule="auto" w:before="0" w:after="120"/>
        <w:ind w:left="400"/>
        <w:jc w:val="both"/>
      </w:pPr>
      <w:r>
        <w:rPr>
          <w:rFonts w:ascii="Aptos" w:cs="Aptos" w:eastAsia="Aptos" w:hAnsi="Aptos"/>
          <w:b/>
          <w:bCs/>
          <w:i w:val="false"/>
          <w:iCs w:val="false"/>
          <w:color w:val="000000"/>
          <w:sz w:val="24"/>
          <w:szCs w:val="24"/>
        </w:rPr>
        <w:t xml:space="preserve">Evrimsel Korunmuşluk: </w:t>
      </w:r>
      <w:r>
        <w:rPr>
          <w:rFonts w:ascii="Aptos" w:cs="Aptos" w:eastAsia="Aptos" w:hAnsi="Aptos"/>
          <w:b w:val="false"/>
          <w:bCs w:val="false"/>
          <w:i w:val="false"/>
          <w:iCs w:val="false"/>
          <w:color w:val="000000"/>
          <w:sz w:val="24"/>
          <w:szCs w:val="24"/>
        </w:rPr>
        <w:t xml:space="preserve">GERP ve PhastCons skorları, mutasyonun gerçekleştiği bölgenin türler arası korunmuşluk düzeyini kodlamaktadır.</w:t>
      </w:r>
    </w:p>
    <w:p>
      <w:pPr>
        <w:spacing w:line="276" w:lineRule="auto" w:before="0" w:after="120"/>
        <w:ind w:left="400"/>
        <w:jc w:val="both"/>
      </w:pPr>
      <w:r>
        <w:rPr>
          <w:rFonts w:ascii="Aptos" w:cs="Aptos" w:eastAsia="Aptos" w:hAnsi="Aptos"/>
          <w:b/>
          <w:bCs/>
          <w:i w:val="false"/>
          <w:iCs w:val="false"/>
          <w:color w:val="000000"/>
          <w:sz w:val="24"/>
          <w:szCs w:val="24"/>
        </w:rPr>
        <w:t xml:space="preserve">Popülasyon Frekansları: </w:t>
      </w:r>
      <w:r>
        <w:rPr>
          <w:rFonts w:ascii="Aptos" w:cs="Aptos" w:eastAsia="Aptos" w:hAnsi="Aptos"/>
          <w:b w:val="false"/>
          <w:bCs w:val="false"/>
          <w:i w:val="false"/>
          <w:iCs w:val="false"/>
          <w:color w:val="000000"/>
          <w:sz w:val="24"/>
          <w:szCs w:val="24"/>
        </w:rPr>
        <w:t xml:space="preserve">gnomAD verileri, varyantın toplumsal yaygınlığına göre benign filtresi işlevi görmektedir.</w:t>
      </w:r>
    </w:p>
    <w:p>
      <w:pPr>
        <w:spacing w:line="276" w:lineRule="auto" w:before="0" w:after="120"/>
        <w:ind w:left="400"/>
        <w:jc w:val="both"/>
      </w:pPr>
      <w:r>
        <w:rPr>
          <w:rFonts w:ascii="Aptos" w:cs="Aptos" w:eastAsia="Aptos" w:hAnsi="Aptos"/>
          <w:b/>
          <w:bCs/>
          <w:i w:val="false"/>
          <w:iCs w:val="false"/>
          <w:color w:val="000000"/>
          <w:sz w:val="24"/>
          <w:szCs w:val="24"/>
        </w:rPr>
        <w:t xml:space="preserve">Biyokimyasal/Yapısal Etkiler: </w:t>
      </w:r>
      <w:r>
        <w:rPr>
          <w:rFonts w:ascii="Aptos" w:cs="Aptos" w:eastAsia="Aptos" w:hAnsi="Aptos"/>
          <w:b w:val="false"/>
          <w:bCs w:val="false"/>
          <w:i w:val="false"/>
          <w:iCs w:val="false"/>
          <w:color w:val="000000"/>
          <w:sz w:val="24"/>
          <w:szCs w:val="24"/>
        </w:rPr>
        <w:t xml:space="preserve">Türetilen Delta_MW ve Delta_Hydro özellikleri aminoasit değişiminin yarattığı fiziksel yükü temsil etmektedir.</w:t>
      </w:r>
    </w:p>
    <w:p>
      <w:pPr>
        <w:spacing w:line="276" w:lineRule="auto" w:before="0" w:after="120"/>
        <w:ind w:left="400"/>
        <w:jc w:val="both"/>
      </w:pPr>
      <w:r>
        <w:rPr>
          <w:rFonts w:ascii="Aptos" w:cs="Aptos" w:eastAsia="Aptos" w:hAnsi="Aptos"/>
          <w:b/>
          <w:bCs/>
          <w:i w:val="false"/>
          <w:iCs w:val="false"/>
          <w:color w:val="000000"/>
          <w:sz w:val="24"/>
          <w:szCs w:val="24"/>
        </w:rPr>
        <w:t xml:space="preserve">Yerel Sekans Bağlamı: </w:t>
      </w:r>
      <w:r>
        <w:rPr>
          <w:rFonts w:ascii="Aptos" w:cs="Aptos" w:eastAsia="Aptos" w:hAnsi="Aptos"/>
          <w:b w:val="false"/>
          <w:bCs w:val="false"/>
          <w:i w:val="false"/>
          <w:iCs w:val="false"/>
          <w:color w:val="000000"/>
          <w:sz w:val="24"/>
          <w:szCs w:val="24"/>
        </w:rPr>
        <w:t xml:space="preserve">1D-CNN'den elde edilen 8 boyutlu özellik vektörü, mutasyonun nükleotid çevresini kodlamaktadır.</w:t>
      </w:r>
    </w:p>
    <w:p>
      <w:pPr>
        <w:pStyle w:val="Heading2"/>
        <w:spacing w:line="276" w:lineRule="auto" w:before="140" w:after="80"/>
        <w:jc w:val="left"/>
      </w:pPr>
      <w:r>
        <w:rPr>
          <w:rFonts w:ascii="Aptos" w:cs="Aptos" w:eastAsia="Aptos" w:hAnsi="Aptos"/>
          <w:b/>
          <w:bCs/>
          <w:color w:val="000000"/>
          <w:sz w:val="26"/>
          <w:szCs w:val="26"/>
        </w:rPr>
        <w:t xml:space="preserve">4.5 Öğrenme Süreci ve Teknik Evrim</w:t>
      </w:r>
    </w:p>
    <w:p>
      <w:pPr>
        <w:spacing w:line="276" w:lineRule="auto" w:before="0" w:after="120"/>
        <w:jc w:val="both"/>
      </w:pPr>
      <w:r>
        <w:rPr>
          <w:rFonts w:ascii="Aptos" w:cs="Aptos" w:eastAsia="Aptos" w:hAnsi="Aptos"/>
          <w:b w:val="false"/>
          <w:bCs w:val="false"/>
          <w:i w:val="false"/>
          <w:iCs w:val="false"/>
          <w:color w:val="000000"/>
          <w:sz w:val="24"/>
          <w:szCs w:val="24"/>
        </w:rPr>
        <w:t xml:space="preserve">Proje aşamalı bir iyileştirme döngüsü izlemiştir:</w:t>
      </w:r>
    </w:p>
    <w:p>
      <w:pPr>
        <w:spacing w:line="276" w:lineRule="auto" w:before="0" w:after="120"/>
        <w:jc w:val="both"/>
      </w:pPr>
      <w:r>
        <w:rPr>
          <w:rFonts w:ascii="Aptos" w:cs="Aptos" w:eastAsia="Aptos" w:hAnsi="Aptos"/>
          <w:b/>
          <w:bCs/>
          <w:i w:val="false"/>
          <w:iCs w:val="false"/>
          <w:color w:val="000000"/>
          <w:sz w:val="24"/>
          <w:szCs w:val="24"/>
        </w:rPr>
        <w:t xml:space="preserve">Sorun – Overfitting: </w:t>
      </w:r>
      <w:r>
        <w:rPr>
          <w:rFonts w:ascii="Aptos" w:cs="Aptos" w:eastAsia="Aptos" w:hAnsi="Aptos"/>
          <w:b w:val="false"/>
          <w:bCs w:val="false"/>
          <w:i w:val="false"/>
          <w:iCs w:val="false"/>
          <w:color w:val="000000"/>
          <w:sz w:val="24"/>
          <w:szCs w:val="24"/>
        </w:rPr>
        <w:t xml:space="preserve">İlk denemelerde eğitim kaybı sıfıra yaklaşırken doğrulama kaybı artmıştır. </w:t>
      </w:r>
      <w:r>
        <w:rPr>
          <w:rFonts w:ascii="Aptos" w:cs="Aptos" w:eastAsia="Aptos" w:hAnsi="Aptos"/>
          <w:b/>
          <w:bCs/>
          <w:i w:val="false"/>
          <w:iCs w:val="false"/>
          <w:color w:val="000000"/>
          <w:sz w:val="24"/>
          <w:szCs w:val="24"/>
        </w:rPr>
        <w:t xml:space="preserve">Müdahale: </w:t>
      </w:r>
      <w:r>
        <w:rPr>
          <w:rFonts w:ascii="Aptos" w:cs="Aptos" w:eastAsia="Aptos" w:hAnsi="Aptos"/>
          <w:b w:val="false"/>
          <w:bCs w:val="false"/>
          <w:i w:val="false"/>
          <w:iCs w:val="false"/>
          <w:color w:val="000000"/>
          <w:sz w:val="24"/>
          <w:szCs w:val="24"/>
        </w:rPr>
        <w:t xml:space="preserve">weight_decay (1e-3, 1e-4, 5e-3 taranmıştır) ve early_stopping_rounds=20 eklenmiştir. </w:t>
      </w:r>
      <w:r>
        <w:rPr>
          <w:rFonts w:ascii="Aptos" w:cs="Aptos" w:eastAsia="Aptos" w:hAnsi="Aptos"/>
          <w:b/>
          <w:bCs/>
          <w:i w:val="false"/>
          <w:iCs w:val="false"/>
          <w:color w:val="000000"/>
          <w:sz w:val="24"/>
          <w:szCs w:val="24"/>
        </w:rPr>
        <w:t xml:space="preserve">Etki: </w:t>
      </w:r>
      <w:r>
        <w:rPr>
          <w:rFonts w:ascii="Aptos" w:cs="Aptos" w:eastAsia="Aptos" w:hAnsi="Aptos"/>
          <w:b w:val="false"/>
          <w:bCs w:val="false"/>
          <w:i w:val="false"/>
          <w:iCs w:val="false"/>
          <w:color w:val="000000"/>
          <w:sz w:val="24"/>
          <w:szCs w:val="24"/>
        </w:rPr>
        <w:t xml:space="preserve">Modelin genelleme kapasitesi artırılmıştır.</w:t>
      </w:r>
    </w:p>
    <w:p>
      <w:pPr>
        <w:spacing w:line="276" w:lineRule="auto" w:before="0" w:after="120"/>
        <w:jc w:val="both"/>
      </w:pPr>
      <w:r>
        <w:rPr>
          <w:rFonts w:ascii="Aptos" w:cs="Aptos" w:eastAsia="Aptos" w:hAnsi="Aptos"/>
          <w:b/>
          <w:bCs/>
          <w:i w:val="false"/>
          <w:iCs w:val="false"/>
          <w:color w:val="000000"/>
          <w:sz w:val="24"/>
          <w:szCs w:val="24"/>
        </w:rPr>
        <w:t xml:space="preserve">Sorun – Panel Bazlı Performans Düşüşü: </w:t>
      </w:r>
      <w:r>
        <w:rPr>
          <w:rFonts w:ascii="Aptos" w:cs="Aptos" w:eastAsia="Aptos" w:hAnsi="Aptos"/>
          <w:b w:val="false"/>
          <w:bCs w:val="false"/>
          <w:i w:val="false"/>
          <w:iCs w:val="false"/>
          <w:color w:val="000000"/>
          <w:sz w:val="24"/>
          <w:szCs w:val="24"/>
        </w:rPr>
        <w:t xml:space="preserve">Genel modelin PAH gibi nadir gen gruplarında yetersiz kalması üzerine. </w:t>
      </w:r>
      <w:r>
        <w:rPr>
          <w:rFonts w:ascii="Aptos" w:cs="Aptos" w:eastAsia="Aptos" w:hAnsi="Aptos"/>
          <w:b/>
          <w:bCs/>
          <w:i w:val="false"/>
          <w:iCs w:val="false"/>
          <w:color w:val="000000"/>
          <w:sz w:val="24"/>
          <w:szCs w:val="24"/>
        </w:rPr>
        <w:t xml:space="preserve">Müdahale: </w:t>
      </w:r>
      <w:r>
        <w:rPr>
          <w:rFonts w:ascii="Aptos" w:cs="Aptos" w:eastAsia="Aptos" w:hAnsi="Aptos"/>
          <w:b w:val="false"/>
          <w:bCs w:val="false"/>
          <w:i w:val="false"/>
          <w:iCs w:val="false"/>
          <w:color w:val="000000"/>
          <w:sz w:val="24"/>
          <w:szCs w:val="24"/>
        </w:rPr>
        <w:t xml:space="preserve">Hybrid MoE V2 mimarisine geçilmiş, panel-özgü uzman modeller entegre edilmiştir. </w:t>
      </w:r>
      <w:r>
        <w:rPr>
          <w:rFonts w:ascii="Aptos" w:cs="Aptos" w:eastAsia="Aptos" w:hAnsi="Aptos"/>
          <w:b/>
          <w:bCs/>
          <w:i w:val="false"/>
          <w:iCs w:val="false"/>
          <w:color w:val="000000"/>
          <w:sz w:val="24"/>
          <w:szCs w:val="24"/>
        </w:rPr>
        <w:t xml:space="preserve">Etki: </w:t>
      </w:r>
      <w:r>
        <w:rPr>
          <w:rFonts w:ascii="Aptos" w:cs="Aptos" w:eastAsia="Aptos" w:hAnsi="Aptos"/>
          <w:b w:val="false"/>
          <w:bCs w:val="false"/>
          <w:i w:val="false"/>
          <w:iCs w:val="false"/>
          <w:color w:val="000000"/>
          <w:sz w:val="24"/>
          <w:szCs w:val="24"/>
        </w:rPr>
        <w:t xml:space="preserve">Spesifik genlerdeki doğruluk oranları %15–20 artırılmıştır.</w:t>
      </w:r>
    </w:p>
    <w:p>
      <w:pPr>
        <w:spacing w:line="276" w:lineRule="auto" w:before="0" w:after="120"/>
        <w:jc w:val="both"/>
      </w:pPr>
      <w:r>
        <w:rPr>
          <w:rFonts w:ascii="Aptos" w:cs="Aptos" w:eastAsia="Aptos" w:hAnsi="Aptos"/>
          <w:b/>
          <w:bCs/>
          <w:i w:val="false"/>
          <w:iCs w:val="false"/>
          <w:color w:val="000000"/>
          <w:sz w:val="24"/>
          <w:szCs w:val="24"/>
        </w:rPr>
        <w:t xml:space="preserve">Sorun – Olasılık Güvensizliği: </w:t>
      </w:r>
      <w:r>
        <w:rPr>
          <w:rFonts w:ascii="Aptos" w:cs="Aptos" w:eastAsia="Aptos" w:hAnsi="Aptos"/>
          <w:b w:val="false"/>
          <w:bCs w:val="false"/>
          <w:i w:val="false"/>
          <w:iCs w:val="false"/>
          <w:color w:val="000000"/>
          <w:sz w:val="24"/>
          <w:szCs w:val="24"/>
        </w:rPr>
        <w:t xml:space="preserve">Ham model çıktılarının klinik karar için iyi kalibre edilmemiş olması. </w:t>
      </w:r>
      <w:r>
        <w:rPr>
          <w:rFonts w:ascii="Aptos" w:cs="Aptos" w:eastAsia="Aptos" w:hAnsi="Aptos"/>
          <w:b/>
          <w:bCs/>
          <w:i w:val="false"/>
          <w:iCs w:val="false"/>
          <w:color w:val="000000"/>
          <w:sz w:val="24"/>
          <w:szCs w:val="24"/>
        </w:rPr>
        <w:t xml:space="preserve">Müdahale: </w:t>
      </w:r>
      <w:r>
        <w:rPr>
          <w:rFonts w:ascii="Aptos" w:cs="Aptos" w:eastAsia="Aptos" w:hAnsi="Aptos"/>
          <w:b w:val="false"/>
          <w:bCs w:val="false"/>
          <w:i w:val="false"/>
          <w:iCs w:val="false"/>
          <w:color w:val="000000"/>
          <w:sz w:val="24"/>
          <w:szCs w:val="24"/>
        </w:rPr>
        <w:t xml:space="preserve">Isotonic regression tabanlı olasılık kalibrasyonu ve F1 odaklı threshold optimizasyonu uygulanmıştır. </w:t>
      </w:r>
      <w:r>
        <w:rPr>
          <w:rFonts w:ascii="Aptos" w:cs="Aptos" w:eastAsia="Aptos" w:hAnsi="Aptos"/>
          <w:b/>
          <w:bCs/>
          <w:i w:val="false"/>
          <w:iCs w:val="false"/>
          <w:color w:val="000000"/>
          <w:sz w:val="24"/>
          <w:szCs w:val="24"/>
        </w:rPr>
        <w:t xml:space="preserve">Etki: </w:t>
      </w:r>
      <w:r>
        <w:rPr>
          <w:rFonts w:ascii="Aptos" w:cs="Aptos" w:eastAsia="Aptos" w:hAnsi="Aptos"/>
          <w:b w:val="false"/>
          <w:bCs w:val="false"/>
          <w:i w:val="false"/>
          <w:iCs w:val="false"/>
          <w:color w:val="000000"/>
          <w:sz w:val="24"/>
          <w:szCs w:val="24"/>
        </w:rPr>
        <w:t xml:space="preserve">0.42 eşiğinde klinik açıdan kabul edilebilir bir hassasiyet–duyarlılık dengesi kurulmuştur.</w:t>
      </w:r>
    </w:p>
    <w:p>
      <w:pPr>
        <w:pStyle w:val="Heading1"/>
        <w:spacing w:line="276" w:lineRule="auto" w:before="160" w:after="120"/>
        <w:jc w:val="left"/>
      </w:pPr>
      <w:r>
        <w:rPr>
          <w:rFonts w:ascii="Aptos" w:cs="Aptos" w:eastAsia="Aptos" w:hAnsi="Aptos"/>
          <w:b/>
          <w:bCs/>
          <w:color w:val="000000"/>
          <w:sz w:val="28"/>
          <w:szCs w:val="28"/>
        </w:rPr>
        <w:t xml:space="preserve">5. YAKLAŞIMIN GEREKÇESİ, KAYNAK KULLANIMI VE ÖZGÜNLÜK</w:t>
      </w:r>
    </w:p>
    <w:p>
      <w:pPr>
        <w:pStyle w:val="Heading2"/>
        <w:spacing w:line="276" w:lineRule="auto" w:before="140" w:after="80"/>
        <w:jc w:val="left"/>
      </w:pPr>
      <w:r>
        <w:rPr>
          <w:rFonts w:ascii="Aptos" w:cs="Aptos" w:eastAsia="Aptos" w:hAnsi="Aptos"/>
          <w:b/>
          <w:bCs/>
          <w:color w:val="000000"/>
          <w:sz w:val="26"/>
          <w:szCs w:val="26"/>
        </w:rPr>
        <w:t xml:space="preserve">5.1 Neden Bu Algoritma / Mimari?</w:t>
      </w:r>
    </w:p>
    <w:p>
      <w:pPr>
        <w:spacing w:line="276" w:lineRule="auto" w:before="0" w:after="120"/>
        <w:jc w:val="both"/>
      </w:pPr>
      <w:r>
        <w:rPr>
          <w:rFonts w:ascii="Aptos" w:cs="Aptos" w:eastAsia="Aptos" w:hAnsi="Aptos"/>
          <w:b w:val="false"/>
          <w:bCs w:val="false"/>
          <w:i w:val="false"/>
          <w:iCs w:val="false"/>
          <w:color w:val="000000"/>
          <w:sz w:val="24"/>
          <w:szCs w:val="24"/>
        </w:rPr>
        <w:t xml:space="preserve">Seçilen </w:t>
      </w:r>
      <w:r>
        <w:rPr>
          <w:rFonts w:ascii="Aptos" w:cs="Aptos" w:eastAsia="Aptos" w:hAnsi="Aptos"/>
          <w:b/>
          <w:bCs/>
          <w:i w:val="false"/>
          <w:iCs w:val="false"/>
          <w:color w:val="000000"/>
          <w:sz w:val="24"/>
          <w:szCs w:val="24"/>
        </w:rPr>
        <w:t xml:space="preserve">Hybrid MoE V2</w:t>
      </w:r>
      <w:r>
        <w:rPr>
          <w:rFonts w:ascii="Aptos" w:cs="Aptos" w:eastAsia="Aptos" w:hAnsi="Aptos"/>
          <w:b w:val="false"/>
          <w:bCs w:val="false"/>
          <w:i w:val="false"/>
          <w:iCs w:val="false"/>
          <w:color w:val="000000"/>
          <w:sz w:val="24"/>
          <w:szCs w:val="24"/>
        </w:rPr>
        <w:t xml:space="preserve"> mimarisi, genetik varyant verilerinin heterojen yapısına (tabular biyoinformatik skorlar + DNA sekans bağlamı + popülasyon frekansları) tam uyum sağlamak üzere tasarlanmıştır. Mimari şu üç temel kriter üzerinden seçilmiştir:</w:t>
      </w:r>
    </w:p>
    <w:p>
      <w:pPr>
        <w:spacing w:line="276" w:lineRule="auto" w:before="0" w:after="120"/>
        <w:jc w:val="both"/>
      </w:pPr>
      <w:r>
        <w:rPr>
          <w:rFonts w:ascii="Aptos" w:cs="Aptos" w:eastAsia="Aptos" w:hAnsi="Aptos"/>
          <w:b/>
          <w:bCs/>
          <w:i w:val="false"/>
          <w:iCs w:val="false"/>
          <w:color w:val="000000"/>
          <w:sz w:val="24"/>
          <w:szCs w:val="24"/>
        </w:rPr>
        <w:t xml:space="preserve">Veri Yapısına Uygunluk: </w:t>
      </w:r>
      <w:r>
        <w:rPr>
          <w:rFonts w:ascii="Aptos" w:cs="Aptos" w:eastAsia="Aptos" w:hAnsi="Aptos"/>
          <w:b w:val="false"/>
          <w:bCs w:val="false"/>
          <w:i w:val="false"/>
          <w:iCs w:val="false"/>
          <w:color w:val="000000"/>
          <w:sz w:val="24"/>
          <w:szCs w:val="24"/>
        </w:rPr>
        <w:t xml:space="preserve">Varyant patojenitesi hem sayısal meta-skorlara hem de genomik bağlama bağlıdır. CatBoost'un tabular verideki üstün performansı ile 1D-CNN'in sekans analiz yeteneği birleştirilerek ikisi de tek başına karşılayamadığı bilgi türlerini modele aktarmaktadır. Kategorik bilgi içeren sütunlar (örn. Type, dna_context) model girdisi olarak korunmuş; genomik adres sütunları (Chromosome, PositionVCF) ise sızıntı riski nedeniyle modelden çıkarılmıştır.</w:t>
      </w:r>
    </w:p>
    <w:p>
      <w:pPr>
        <w:spacing w:line="276" w:lineRule="auto" w:before="0" w:after="120"/>
        <w:jc w:val="both"/>
      </w:pPr>
      <w:r>
        <w:rPr>
          <w:rFonts w:ascii="Aptos" w:cs="Aptos" w:eastAsia="Aptos" w:hAnsi="Aptos"/>
          <w:b/>
          <w:bCs/>
          <w:i w:val="false"/>
          <w:iCs w:val="false"/>
          <w:color w:val="000000"/>
          <w:sz w:val="24"/>
          <w:szCs w:val="24"/>
        </w:rPr>
        <w:t xml:space="preserve">Panel Bazlı Genelleme: </w:t>
      </w:r>
      <w:r>
        <w:rPr>
          <w:rFonts w:ascii="Aptos" w:cs="Aptos" w:eastAsia="Aptos" w:hAnsi="Aptos"/>
          <w:b w:val="false"/>
          <w:bCs w:val="false"/>
          <w:i w:val="false"/>
          <w:iCs w:val="false"/>
          <w:color w:val="000000"/>
          <w:sz w:val="24"/>
          <w:szCs w:val="24"/>
        </w:rPr>
        <w:t xml:space="preserve">MoEGating mekanizması, gelen varyantın özelliklerine göre hangi uzmanın kararına daha fazla ağırlık verileceğini dinamik olarak belirlemektedir. Bu yapı, farklı biyolojik desenlere sahip gen panellerinde tutarlı genelleme sağlamaktadır.</w:t>
      </w:r>
    </w:p>
    <w:p>
      <w:pPr>
        <w:spacing w:line="276" w:lineRule="auto" w:before="0" w:after="120"/>
        <w:jc w:val="both"/>
      </w:pPr>
      <w:r>
        <w:rPr>
          <w:rFonts w:ascii="Aptos" w:cs="Aptos" w:eastAsia="Aptos" w:hAnsi="Aptos"/>
          <w:b/>
          <w:bCs/>
          <w:i w:val="false"/>
          <w:iCs w:val="false"/>
          <w:color w:val="000000"/>
          <w:sz w:val="24"/>
          <w:szCs w:val="24"/>
        </w:rPr>
        <w:t xml:space="preserve">Gürültüye Dayanıklılık: </w:t>
      </w:r>
      <w:r>
        <w:rPr>
          <w:rFonts w:ascii="Aptos" w:cs="Aptos" w:eastAsia="Aptos" w:hAnsi="Aptos"/>
          <w:b w:val="false"/>
          <w:bCs w:val="false"/>
          <w:i w:val="false"/>
          <w:iCs w:val="false"/>
          <w:color w:val="000000"/>
          <w:sz w:val="24"/>
          <w:szCs w:val="24"/>
        </w:rPr>
        <w:t xml:space="preserve">Simetrik ağaç yapıları ve CNN'in yerel özellik çıkarma yeteneği, eksik in-silico skorların bulunduğu gürültülü veri koşullarında bile kararlı tahminler üretmektedir. Eğitim deterministik bir şekilde (seed=42) sabitlenmiş; bu durum sonuçların tam tekrarlanabilirliğini güvence altına almaktadır.</w:t>
      </w:r>
    </w:p>
    <w:p>
      <w:pPr>
        <w:pStyle w:val="Heading2"/>
        <w:spacing w:line="276" w:lineRule="auto" w:before="140" w:after="80"/>
        <w:jc w:val="left"/>
      </w:pPr>
      <w:r>
        <w:rPr>
          <w:rFonts w:ascii="Aptos" w:cs="Aptos" w:eastAsia="Aptos" w:hAnsi="Aptos"/>
          <w:b/>
          <w:bCs/>
          <w:color w:val="000000"/>
          <w:sz w:val="26"/>
          <w:szCs w:val="26"/>
        </w:rPr>
        <w:t xml:space="preserve">5.2 Alternatifler Neden Elendi?</w:t>
      </w:r>
    </w:p>
    <w:p>
      <w:pPr>
        <w:spacing w:line="276" w:lineRule="auto" w:before="0" w:after="120"/>
        <w:jc w:val="both"/>
      </w:pPr>
      <w:r>
        <w:rPr>
          <w:rFonts w:ascii="Aptos" w:cs="Aptos" w:eastAsia="Aptos" w:hAnsi="Aptos"/>
          <w:b/>
          <w:bCs/>
          <w:i w:val="false"/>
          <w:iCs w:val="false"/>
          <w:color w:val="000000"/>
          <w:sz w:val="24"/>
          <w:szCs w:val="24"/>
        </w:rPr>
        <w:t xml:space="preserve">Standart Tabular Derin Sinir Ağları (MLP): </w:t>
      </w:r>
      <w:r>
        <w:rPr>
          <w:rFonts w:ascii="Aptos" w:cs="Aptos" w:eastAsia="Aptos" w:hAnsi="Aptos"/>
          <w:b w:val="false"/>
          <w:bCs w:val="false"/>
          <w:i w:val="false"/>
          <w:iCs w:val="false"/>
          <w:color w:val="000000"/>
          <w:sz w:val="24"/>
          <w:szCs w:val="24"/>
        </w:rPr>
        <w:t xml:space="preserve">Kategorik ve sayısal verilerin karışık olduğu tablolarda GBDT tabanlı modellere kıyasla daha düşük performans sergilemiş ve overfitting'e daha yatkın davranmıştır. Ayrıca MLP, CatBoost'un sunduğu yerleşik kategorik kodlama ve regularizasyon avantajlarından yoksundur.</w:t>
      </w:r>
    </w:p>
    <w:p>
      <w:pPr>
        <w:spacing w:line="276" w:lineRule="auto" w:before="0" w:after="120"/>
        <w:jc w:val="both"/>
      </w:pPr>
      <w:r>
        <w:rPr>
          <w:rFonts w:ascii="Aptos" w:cs="Aptos" w:eastAsia="Aptos" w:hAnsi="Aptos"/>
          <w:b/>
          <w:bCs/>
          <w:i w:val="false"/>
          <w:iCs w:val="false"/>
          <w:color w:val="000000"/>
          <w:sz w:val="24"/>
          <w:szCs w:val="24"/>
        </w:rPr>
        <w:t xml:space="preserve">Tekli Global GBDT (XGBoost / LightGBM): </w:t>
      </w:r>
      <w:r>
        <w:rPr>
          <w:rFonts w:ascii="Aptos" w:cs="Aptos" w:eastAsia="Aptos" w:hAnsi="Aptos"/>
          <w:b w:val="false"/>
          <w:bCs w:val="false"/>
          <w:i w:val="false"/>
          <w:iCs w:val="false"/>
          <w:color w:val="000000"/>
          <w:sz w:val="24"/>
          <w:szCs w:val="24"/>
        </w:rPr>
        <w:t xml:space="preserve">Tek bir modelin tüm panelleri öğrenmeye zorlanması, örnek sayısı az olan nadir gen gruplarında (örn. VWF, BMPR2) performansın ciddi biçimde düşmesine neden olmuştur. Bu durum, panel-özgü uzmanlaşmayı destekleyen [5] numaralı çalışmayla da uyumluluk göstermektedir.</w:t>
      </w:r>
    </w:p>
    <w:p>
      <w:pPr>
        <w:spacing w:line="276" w:lineRule="auto" w:before="0" w:after="120"/>
        <w:jc w:val="both"/>
      </w:pPr>
      <w:r>
        <w:rPr>
          <w:rFonts w:ascii="Aptos" w:cs="Aptos" w:eastAsia="Aptos" w:hAnsi="Aptos"/>
          <w:b/>
          <w:bCs/>
          <w:i w:val="false"/>
          <w:iCs w:val="false"/>
          <w:color w:val="000000"/>
          <w:sz w:val="24"/>
          <w:szCs w:val="24"/>
        </w:rPr>
        <w:t xml:space="preserve">Denetimsiz Evrimsel Modeller (EVE benzeri): </w:t>
      </w:r>
      <w:r>
        <w:rPr>
          <w:rFonts w:ascii="Aptos" w:cs="Aptos" w:eastAsia="Aptos" w:hAnsi="Aptos"/>
          <w:b w:val="false"/>
          <w:bCs w:val="false"/>
          <w:i w:val="false"/>
          <w:iCs w:val="false"/>
          <w:color w:val="000000"/>
          <w:sz w:val="24"/>
          <w:szCs w:val="24"/>
        </w:rPr>
        <w:t xml:space="preserve">Her gen için bağımsız eğitim yüksek hesaplama maliyeti gerektirmekte ve düşük örnek sayılı panellerde güvenilir MSA derinliğine ulaşılamamaktadır. Zengin etiketli ClinVar verisi mevcut olduğunda denetimli yaklaşım daha verimli ve kontrollü bir seçenektir.</w:t>
      </w:r>
    </w:p>
    <w:p>
      <w:pPr>
        <w:pStyle w:val="Heading2"/>
        <w:spacing w:line="276" w:lineRule="auto" w:before="140" w:after="80"/>
        <w:jc w:val="left"/>
      </w:pPr>
      <w:r>
        <w:rPr>
          <w:rFonts w:ascii="Aptos" w:cs="Aptos" w:eastAsia="Aptos" w:hAnsi="Aptos"/>
          <w:b/>
          <w:bCs/>
          <w:color w:val="000000"/>
          <w:sz w:val="26"/>
          <w:szCs w:val="26"/>
        </w:rPr>
        <w:t xml:space="preserve">5.3 Parametre Seçimi ve Model Ayarları</w:t>
      </w:r>
    </w:p>
    <w:p>
      <w:pPr>
        <w:spacing w:line="276" w:lineRule="auto" w:before="0" w:after="120"/>
        <w:jc w:val="both"/>
      </w:pPr>
      <w:r>
        <w:rPr>
          <w:rFonts w:ascii="Aptos" w:cs="Aptos" w:eastAsia="Aptos" w:hAnsi="Aptos"/>
          <w:b w:val="false"/>
          <w:bCs w:val="false"/>
          <w:i w:val="false"/>
          <w:iCs w:val="false"/>
          <w:color w:val="000000"/>
          <w:sz w:val="24"/>
          <w:szCs w:val="24"/>
        </w:rPr>
        <w:t xml:space="preserve">Hiperparametre optimizasyonu </w:t>
      </w:r>
      <w:r>
        <w:rPr>
          <w:rFonts w:ascii="Aptos" w:cs="Aptos" w:eastAsia="Aptos" w:hAnsi="Aptos"/>
          <w:b/>
          <w:bCs/>
          <w:i w:val="false"/>
          <w:iCs w:val="false"/>
          <w:color w:val="000000"/>
          <w:sz w:val="24"/>
          <w:szCs w:val="24"/>
        </w:rPr>
        <w:t xml:space="preserve">Optuna</w:t>
      </w:r>
      <w:r>
        <w:rPr>
          <w:rFonts w:ascii="Aptos" w:cs="Aptos" w:eastAsia="Aptos" w:hAnsi="Aptos"/>
          <w:b w:val="false"/>
          <w:bCs w:val="false"/>
          <w:i w:val="false"/>
          <w:iCs w:val="false"/>
          <w:color w:val="000000"/>
          <w:sz w:val="24"/>
          <w:szCs w:val="24"/>
        </w:rPr>
        <w:t xml:space="preserve"> kütüphanesi ile Bayesian arama stratejisi kullanılarak 5-Fold Cross-Validation üzerinde yürütülmüştür. Her uzman için ayrı arama uzayı tanımlanmıştır: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95"/>
        <w:gridCol w:w="1814"/>
        <w:gridCol w:w="1451"/>
        <w:gridCol w:w="1995"/>
        <w:gridCol w:w="1814"/>
      </w:tblGrid>
      <w:tr>
        <w:tc>
          <w:tcPr>
            <w:tcW w:type="dxa" w:w="1995"/>
            <w:tcBorders>
              <w:top w:val="single" w:color="AAAAAA" w:sz="1"/>
              <w:left w:val="single" w:color="AAAAAA" w:sz="1"/>
              <w:bottom w:val="single" w:color="AAAAAA" w:sz="1"/>
              <w:right w:val="single" w:color="AAAAAA" w:sz="1"/>
            </w:tcBorders>
            <w:shd w:fill="E2EEF9" w:val="clear"/>
            <w:tcMar>
              <w:top w:type="dxa" w:w="80"/>
              <w:left w:type="dxa" w:w="120"/>
              <w:bottom w:type="dxa" w:w="80"/>
              <w:right w:type="dxa" w:w="120"/>
            </w:tcMar>
            <w:vAlign w:val="center"/>
          </w:tcPr>
          <w:p>
            <w:pPr>
              <w:spacing w:line="276" w:after="0"/>
              <w:jc w:val="center"/>
            </w:pPr>
            <w:r>
              <w:rPr>
                <w:rFonts w:ascii="Aptos" w:cs="Aptos" w:eastAsia="Aptos" w:hAnsi="Aptos"/>
                <w:b/>
                <w:bCs/>
                <w:color w:val="000000"/>
                <w:sz w:val="22"/>
                <w:szCs w:val="22"/>
              </w:rPr>
              <w:t xml:space="preserve">Uzman</w:t>
            </w:r>
          </w:p>
        </w:tc>
        <w:tc>
          <w:tcPr>
            <w:tcW w:type="dxa" w:w="1814"/>
            <w:tcBorders>
              <w:top w:val="single" w:color="AAAAAA" w:sz="1"/>
              <w:left w:val="single" w:color="AAAAAA" w:sz="1"/>
              <w:bottom w:val="single" w:color="AAAAAA" w:sz="1"/>
              <w:right w:val="single" w:color="AAAAAA" w:sz="1"/>
            </w:tcBorders>
            <w:shd w:fill="E2EEF9" w:val="clear"/>
            <w:tcMar>
              <w:top w:type="dxa" w:w="80"/>
              <w:left w:type="dxa" w:w="120"/>
              <w:bottom w:type="dxa" w:w="80"/>
              <w:right w:type="dxa" w:w="120"/>
            </w:tcMar>
            <w:vAlign w:val="center"/>
          </w:tcPr>
          <w:p>
            <w:pPr>
              <w:spacing w:line="276" w:after="0"/>
              <w:jc w:val="center"/>
            </w:pPr>
            <w:r>
              <w:rPr>
                <w:rFonts w:ascii="Aptos" w:cs="Aptos" w:eastAsia="Aptos" w:hAnsi="Aptos"/>
                <w:b/>
                <w:bCs/>
                <w:color w:val="000000"/>
                <w:sz w:val="22"/>
                <w:szCs w:val="22"/>
              </w:rPr>
              <w:t xml:space="preserve">iterations</w:t>
            </w:r>
          </w:p>
        </w:tc>
        <w:tc>
          <w:tcPr>
            <w:tcW w:type="dxa" w:w="1451"/>
            <w:tcBorders>
              <w:top w:val="single" w:color="AAAAAA" w:sz="1"/>
              <w:left w:val="single" w:color="AAAAAA" w:sz="1"/>
              <w:bottom w:val="single" w:color="AAAAAA" w:sz="1"/>
              <w:right w:val="single" w:color="AAAAAA" w:sz="1"/>
            </w:tcBorders>
            <w:shd w:fill="E2EEF9" w:val="clear"/>
            <w:tcMar>
              <w:top w:type="dxa" w:w="80"/>
              <w:left w:type="dxa" w:w="120"/>
              <w:bottom w:type="dxa" w:w="80"/>
              <w:right w:type="dxa" w:w="120"/>
            </w:tcMar>
            <w:vAlign w:val="center"/>
          </w:tcPr>
          <w:p>
            <w:pPr>
              <w:spacing w:line="276" w:after="0"/>
              <w:jc w:val="center"/>
            </w:pPr>
            <w:r>
              <w:rPr>
                <w:rFonts w:ascii="Aptos" w:cs="Aptos" w:eastAsia="Aptos" w:hAnsi="Aptos"/>
                <w:b/>
                <w:bCs/>
                <w:color w:val="000000"/>
                <w:sz w:val="22"/>
                <w:szCs w:val="22"/>
              </w:rPr>
              <w:t xml:space="preserve">depth</w:t>
            </w:r>
          </w:p>
        </w:tc>
        <w:tc>
          <w:tcPr>
            <w:tcW w:type="dxa" w:w="1995"/>
            <w:tcBorders>
              <w:top w:val="single" w:color="AAAAAA" w:sz="1"/>
              <w:left w:val="single" w:color="AAAAAA" w:sz="1"/>
              <w:bottom w:val="single" w:color="AAAAAA" w:sz="1"/>
              <w:right w:val="single" w:color="AAAAAA" w:sz="1"/>
            </w:tcBorders>
            <w:shd w:fill="E2EEF9" w:val="clear"/>
            <w:tcMar>
              <w:top w:type="dxa" w:w="80"/>
              <w:left w:type="dxa" w:w="120"/>
              <w:bottom w:type="dxa" w:w="80"/>
              <w:right w:type="dxa" w:w="120"/>
            </w:tcMar>
            <w:vAlign w:val="center"/>
          </w:tcPr>
          <w:p>
            <w:pPr>
              <w:spacing w:line="276" w:after="0"/>
              <w:jc w:val="center"/>
            </w:pPr>
            <w:r>
              <w:rPr>
                <w:rFonts w:ascii="Aptos" w:cs="Aptos" w:eastAsia="Aptos" w:hAnsi="Aptos"/>
                <w:b/>
                <w:bCs/>
                <w:color w:val="000000"/>
                <w:sz w:val="22"/>
                <w:szCs w:val="22"/>
              </w:rPr>
              <w:t xml:space="preserve">learning_rate</w:t>
            </w:r>
          </w:p>
        </w:tc>
        <w:tc>
          <w:tcPr>
            <w:tcW w:type="dxa" w:w="1814"/>
            <w:tcBorders>
              <w:top w:val="single" w:color="AAAAAA" w:sz="1"/>
              <w:left w:val="single" w:color="AAAAAA" w:sz="1"/>
              <w:bottom w:val="single" w:color="AAAAAA" w:sz="1"/>
              <w:right w:val="single" w:color="AAAAAA" w:sz="1"/>
            </w:tcBorders>
            <w:shd w:fill="E2EEF9" w:val="clear"/>
            <w:tcMar>
              <w:top w:type="dxa" w:w="80"/>
              <w:left w:type="dxa" w:w="120"/>
              <w:bottom w:type="dxa" w:w="80"/>
              <w:right w:type="dxa" w:w="120"/>
            </w:tcMar>
            <w:vAlign w:val="center"/>
          </w:tcPr>
          <w:p>
            <w:pPr>
              <w:spacing w:line="276" w:after="0"/>
              <w:jc w:val="center"/>
            </w:pPr>
            <w:r>
              <w:rPr>
                <w:rFonts w:ascii="Aptos" w:cs="Aptos" w:eastAsia="Aptos" w:hAnsi="Aptos"/>
                <w:b/>
                <w:bCs/>
                <w:color w:val="000000"/>
                <w:sz w:val="22"/>
                <w:szCs w:val="22"/>
              </w:rPr>
              <w:t xml:space="preserve">l2_leaf_reg</w:t>
            </w:r>
          </w:p>
        </w:tc>
      </w:tr>
      <w:tr>
        <w:tc>
          <w:tcPr>
            <w:tcW w:type="dxa" w:w="199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76" w:after="0"/>
              <w:jc w:val="center"/>
            </w:pPr>
            <w:r>
              <w:rPr>
                <w:rFonts w:ascii="Aptos" w:cs="Aptos" w:eastAsia="Aptos" w:hAnsi="Aptos"/>
                <w:b w:val="false"/>
                <w:bCs w:val="false"/>
                <w:color w:val="000000"/>
                <w:sz w:val="22"/>
                <w:szCs w:val="22"/>
              </w:rPr>
              <w:t xml:space="preserve">Master</w:t>
            </w:r>
          </w:p>
        </w:tc>
        <w:tc>
          <w:tcPr>
            <w:tcW w:type="dxa" w:w="181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76" w:after="0"/>
              <w:jc w:val="center"/>
            </w:pPr>
            <w:r>
              <w:rPr>
                <w:rFonts w:ascii="Aptos" w:cs="Aptos" w:eastAsia="Aptos" w:hAnsi="Aptos"/>
                <w:b w:val="false"/>
                <w:bCs w:val="false"/>
                <w:color w:val="000000"/>
                <w:sz w:val="22"/>
                <w:szCs w:val="22"/>
              </w:rPr>
              <w:t xml:space="preserve">2000</w:t>
            </w:r>
          </w:p>
        </w:tc>
        <w:tc>
          <w:tcPr>
            <w:tcW w:type="dxa" w:w="145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76" w:after="0"/>
              <w:jc w:val="center"/>
            </w:pPr>
            <w:r>
              <w:rPr>
                <w:rFonts w:ascii="Aptos" w:cs="Aptos" w:eastAsia="Aptos" w:hAnsi="Aptos"/>
                <w:b w:val="false"/>
                <w:bCs w:val="false"/>
                <w:color w:val="000000"/>
                <w:sz w:val="22"/>
                <w:szCs w:val="22"/>
              </w:rPr>
              <w:t xml:space="preserve">7</w:t>
            </w:r>
          </w:p>
        </w:tc>
        <w:tc>
          <w:tcPr>
            <w:tcW w:type="dxa" w:w="199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76" w:after="0"/>
              <w:jc w:val="center"/>
            </w:pPr>
            <w:r>
              <w:rPr>
                <w:rFonts w:ascii="Aptos" w:cs="Aptos" w:eastAsia="Aptos" w:hAnsi="Aptos"/>
                <w:b w:val="false"/>
                <w:bCs w:val="false"/>
                <w:color w:val="000000"/>
                <w:sz w:val="22"/>
                <w:szCs w:val="22"/>
              </w:rPr>
              <w:t xml:space="preserve">0.03</w:t>
            </w:r>
          </w:p>
        </w:tc>
        <w:tc>
          <w:tcPr>
            <w:tcW w:type="dxa" w:w="181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76" w:after="0"/>
              <w:jc w:val="center"/>
            </w:pPr>
            <w:r>
              <w:rPr>
                <w:rFonts w:ascii="Aptos" w:cs="Aptos" w:eastAsia="Aptos" w:hAnsi="Aptos"/>
                <w:b w:val="false"/>
                <w:bCs w:val="false"/>
                <w:color w:val="000000"/>
                <w:sz w:val="22"/>
                <w:szCs w:val="22"/>
              </w:rPr>
              <w:t xml:space="preserve">3</w:t>
            </w:r>
          </w:p>
        </w:tc>
      </w:tr>
      <w:tr>
        <w:tc>
          <w:tcPr>
            <w:tcW w:type="dxa" w:w="199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76" w:after="0"/>
              <w:jc w:val="center"/>
            </w:pPr>
            <w:r>
              <w:rPr>
                <w:rFonts w:ascii="Aptos" w:cs="Aptos" w:eastAsia="Aptos" w:hAnsi="Aptos"/>
                <w:b w:val="false"/>
                <w:bCs w:val="false"/>
                <w:color w:val="000000"/>
                <w:sz w:val="22"/>
                <w:szCs w:val="22"/>
              </w:rPr>
              <w:t xml:space="preserve">Cancer</w:t>
            </w:r>
          </w:p>
        </w:tc>
        <w:tc>
          <w:tcPr>
            <w:tcW w:type="dxa" w:w="181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76" w:after="0"/>
              <w:jc w:val="center"/>
            </w:pPr>
            <w:r>
              <w:rPr>
                <w:rFonts w:ascii="Aptos" w:cs="Aptos" w:eastAsia="Aptos" w:hAnsi="Aptos"/>
                <w:b w:val="false"/>
                <w:bCs w:val="false"/>
                <w:color w:val="000000"/>
                <w:sz w:val="22"/>
                <w:szCs w:val="22"/>
              </w:rPr>
              <w:t xml:space="preserve">800</w:t>
            </w:r>
          </w:p>
        </w:tc>
        <w:tc>
          <w:tcPr>
            <w:tcW w:type="dxa" w:w="145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76" w:after="0"/>
              <w:jc w:val="center"/>
            </w:pPr>
            <w:r>
              <w:rPr>
                <w:rFonts w:ascii="Aptos" w:cs="Aptos" w:eastAsia="Aptos" w:hAnsi="Aptos"/>
                <w:b w:val="false"/>
                <w:bCs w:val="false"/>
                <w:color w:val="000000"/>
                <w:sz w:val="22"/>
                <w:szCs w:val="22"/>
              </w:rPr>
              <w:t xml:space="preserve">6</w:t>
            </w:r>
          </w:p>
        </w:tc>
        <w:tc>
          <w:tcPr>
            <w:tcW w:type="dxa" w:w="199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76" w:after="0"/>
              <w:jc w:val="center"/>
            </w:pPr>
            <w:r>
              <w:rPr>
                <w:rFonts w:ascii="Aptos" w:cs="Aptos" w:eastAsia="Aptos" w:hAnsi="Aptos"/>
                <w:b w:val="false"/>
                <w:bCs w:val="false"/>
                <w:color w:val="000000"/>
                <w:sz w:val="22"/>
                <w:szCs w:val="22"/>
              </w:rPr>
              <w:t xml:space="preserve">0.05</w:t>
            </w:r>
          </w:p>
        </w:tc>
        <w:tc>
          <w:tcPr>
            <w:tcW w:type="dxa" w:w="181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76" w:after="0"/>
              <w:jc w:val="center"/>
            </w:pPr>
            <w:r>
              <w:rPr>
                <w:rFonts w:ascii="Aptos" w:cs="Aptos" w:eastAsia="Aptos" w:hAnsi="Aptos"/>
                <w:b w:val="false"/>
                <w:bCs w:val="false"/>
                <w:color w:val="000000"/>
                <w:sz w:val="22"/>
                <w:szCs w:val="22"/>
              </w:rPr>
              <w:t xml:space="preserve">5</w:t>
            </w:r>
          </w:p>
        </w:tc>
      </w:tr>
      <w:tr>
        <w:tc>
          <w:tcPr>
            <w:tcW w:type="dxa" w:w="199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76" w:after="0"/>
              <w:jc w:val="center"/>
            </w:pPr>
            <w:r>
              <w:rPr>
                <w:rFonts w:ascii="Aptos" w:cs="Aptos" w:eastAsia="Aptos" w:hAnsi="Aptos"/>
                <w:b w:val="false"/>
                <w:bCs w:val="false"/>
                <w:color w:val="000000"/>
                <w:sz w:val="22"/>
                <w:szCs w:val="22"/>
              </w:rPr>
              <w:t xml:space="preserve">PAH</w:t>
            </w:r>
          </w:p>
        </w:tc>
        <w:tc>
          <w:tcPr>
            <w:tcW w:type="dxa" w:w="181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76" w:after="0"/>
              <w:jc w:val="center"/>
            </w:pPr>
            <w:r>
              <w:rPr>
                <w:rFonts w:ascii="Aptos" w:cs="Aptos" w:eastAsia="Aptos" w:hAnsi="Aptos"/>
                <w:b w:val="false"/>
                <w:bCs w:val="false"/>
                <w:color w:val="000000"/>
                <w:sz w:val="22"/>
                <w:szCs w:val="22"/>
              </w:rPr>
              <w:t xml:space="preserve">800</w:t>
            </w:r>
          </w:p>
        </w:tc>
        <w:tc>
          <w:tcPr>
            <w:tcW w:type="dxa" w:w="145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76" w:after="0"/>
              <w:jc w:val="center"/>
            </w:pPr>
            <w:r>
              <w:rPr>
                <w:rFonts w:ascii="Aptos" w:cs="Aptos" w:eastAsia="Aptos" w:hAnsi="Aptos"/>
                <w:b w:val="false"/>
                <w:bCs w:val="false"/>
                <w:color w:val="000000"/>
                <w:sz w:val="22"/>
                <w:szCs w:val="22"/>
              </w:rPr>
              <w:t xml:space="preserve">5</w:t>
            </w:r>
          </w:p>
        </w:tc>
        <w:tc>
          <w:tcPr>
            <w:tcW w:type="dxa" w:w="199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76" w:after="0"/>
              <w:jc w:val="center"/>
            </w:pPr>
            <w:r>
              <w:rPr>
                <w:rFonts w:ascii="Aptos" w:cs="Aptos" w:eastAsia="Aptos" w:hAnsi="Aptos"/>
                <w:b w:val="false"/>
                <w:bCs w:val="false"/>
                <w:color w:val="000000"/>
                <w:sz w:val="22"/>
                <w:szCs w:val="22"/>
              </w:rPr>
              <w:t xml:space="preserve">0.05</w:t>
            </w:r>
          </w:p>
        </w:tc>
        <w:tc>
          <w:tcPr>
            <w:tcW w:type="dxa" w:w="181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76" w:after="0"/>
              <w:jc w:val="center"/>
            </w:pPr>
            <w:r>
              <w:rPr>
                <w:rFonts w:ascii="Aptos" w:cs="Aptos" w:eastAsia="Aptos" w:hAnsi="Aptos"/>
                <w:b w:val="false"/>
                <w:bCs w:val="false"/>
                <w:color w:val="000000"/>
                <w:sz w:val="22"/>
                <w:szCs w:val="22"/>
              </w:rPr>
              <w:t xml:space="preserve">5</w:t>
            </w:r>
          </w:p>
        </w:tc>
      </w:tr>
      <w:tr>
        <w:tc>
          <w:tcPr>
            <w:tcW w:type="dxa" w:w="199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76" w:after="0"/>
              <w:jc w:val="center"/>
            </w:pPr>
            <w:r>
              <w:rPr>
                <w:rFonts w:ascii="Aptos" w:cs="Aptos" w:eastAsia="Aptos" w:hAnsi="Aptos"/>
                <w:b w:val="false"/>
                <w:bCs w:val="false"/>
                <w:color w:val="000000"/>
                <w:sz w:val="22"/>
                <w:szCs w:val="22"/>
              </w:rPr>
              <w:t xml:space="preserve">CFTR</w:t>
            </w:r>
          </w:p>
        </w:tc>
        <w:tc>
          <w:tcPr>
            <w:tcW w:type="dxa" w:w="181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76" w:after="0"/>
              <w:jc w:val="center"/>
            </w:pPr>
            <w:r>
              <w:rPr>
                <w:rFonts w:ascii="Aptos" w:cs="Aptos" w:eastAsia="Aptos" w:hAnsi="Aptos"/>
                <w:b w:val="false"/>
                <w:bCs w:val="false"/>
                <w:color w:val="000000"/>
                <w:sz w:val="22"/>
                <w:szCs w:val="22"/>
              </w:rPr>
              <w:t xml:space="preserve">300</w:t>
            </w:r>
          </w:p>
        </w:tc>
        <w:tc>
          <w:tcPr>
            <w:tcW w:type="dxa" w:w="145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76" w:after="0"/>
              <w:jc w:val="center"/>
            </w:pPr>
            <w:r>
              <w:rPr>
                <w:rFonts w:ascii="Aptos" w:cs="Aptos" w:eastAsia="Aptos" w:hAnsi="Aptos"/>
                <w:b w:val="false"/>
                <w:bCs w:val="false"/>
                <w:color w:val="000000"/>
                <w:sz w:val="22"/>
                <w:szCs w:val="22"/>
              </w:rPr>
              <w:t xml:space="preserve">4</w:t>
            </w:r>
          </w:p>
        </w:tc>
        <w:tc>
          <w:tcPr>
            <w:tcW w:type="dxa" w:w="199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76" w:after="0"/>
              <w:jc w:val="center"/>
            </w:pPr>
            <w:r>
              <w:rPr>
                <w:rFonts w:ascii="Aptos" w:cs="Aptos" w:eastAsia="Aptos" w:hAnsi="Aptos"/>
                <w:b w:val="false"/>
                <w:bCs w:val="false"/>
                <w:color w:val="000000"/>
                <w:sz w:val="22"/>
                <w:szCs w:val="22"/>
              </w:rPr>
              <w:t xml:space="preserve">0.05</w:t>
            </w:r>
          </w:p>
        </w:tc>
        <w:tc>
          <w:tcPr>
            <w:tcW w:type="dxa" w:w="181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76" w:after="0"/>
              <w:jc w:val="center"/>
            </w:pPr>
            <w:r>
              <w:rPr>
                <w:rFonts w:ascii="Aptos" w:cs="Aptos" w:eastAsia="Aptos" w:hAnsi="Aptos"/>
                <w:b w:val="false"/>
                <w:bCs w:val="false"/>
                <w:color w:val="000000"/>
                <w:sz w:val="22"/>
                <w:szCs w:val="22"/>
              </w:rPr>
              <w:t xml:space="preserve">10</w:t>
            </w:r>
          </w:p>
        </w:tc>
      </w:tr>
    </w:tbl>
    <w:p>
      <w:pPr>
        <w:spacing w:line="276" w:after="0" w:before="0"/>
      </w:pPr>
      <w:r>
        <w:rPr>
          <w:rFonts w:ascii="Aptos" w:cs="Aptos" w:eastAsia="Aptos" w:hAnsi="Aptos"/>
          <w:b w:val="false"/>
          <w:bCs w:val="false"/>
          <w:i w:val="false"/>
          <w:iCs w:val="false"/>
          <w:color w:val="000000"/>
          <w:sz w:val="24"/>
          <w:szCs w:val="24"/>
        </w:rPr>
        <w:t xml:space="preserve"/>
      </w:r>
    </w:p>
    <w:p>
      <w:pPr>
        <w:spacing w:line="276" w:lineRule="auto" w:before="0" w:after="120"/>
        <w:jc w:val="both"/>
      </w:pPr>
      <w:r>
        <w:rPr>
          <w:rFonts w:ascii="Aptos" w:cs="Aptos" w:eastAsia="Aptos" w:hAnsi="Aptos"/>
          <w:b w:val="false"/>
          <w:bCs w:val="false"/>
          <w:i w:val="false"/>
          <w:iCs w:val="false"/>
          <w:color w:val="000000"/>
          <w:sz w:val="24"/>
          <w:szCs w:val="24"/>
        </w:rPr>
        <w:t xml:space="preserve">Sinir ağı tarafında weight_decay = 5e-3, early_stopping_rounds = 15 ve gradient clipping (max norm = 1.0) uygulanmıştır. Kadar olasılık kalibrasyonu isotonic regression ile gerçekleştirilmiş; F1 skorunu maksimize eden optimal eşik </w:t>
      </w:r>
      <w:r>
        <w:rPr>
          <w:rFonts w:ascii="Aptos" w:cs="Aptos" w:eastAsia="Aptos" w:hAnsi="Aptos"/>
          <w:b/>
          <w:bCs/>
          <w:i w:val="false"/>
          <w:iCs w:val="false"/>
          <w:color w:val="000000"/>
          <w:sz w:val="24"/>
          <w:szCs w:val="24"/>
        </w:rPr>
        <w:t xml:space="preserve">0.42</w:t>
      </w:r>
      <w:r>
        <w:rPr>
          <w:rFonts w:ascii="Aptos" w:cs="Aptos" w:eastAsia="Aptos" w:hAnsi="Aptos"/>
          <w:b w:val="false"/>
          <w:bCs w:val="false"/>
          <w:i w:val="false"/>
          <w:iCs w:val="false"/>
          <w:color w:val="000000"/>
          <w:sz w:val="24"/>
          <w:szCs w:val="24"/>
        </w:rPr>
        <w:t xml:space="preserve"> olarak belirlenmiştir.</w:t>
      </w:r>
    </w:p>
    <w:p>
      <w:pPr>
        <w:pStyle w:val="Heading2"/>
        <w:spacing w:line="276" w:lineRule="auto" w:before="140" w:after="80"/>
        <w:jc w:val="left"/>
      </w:pPr>
      <w:r>
        <w:rPr>
          <w:rFonts w:ascii="Aptos" w:cs="Aptos" w:eastAsia="Aptos" w:hAnsi="Aptos"/>
          <w:b/>
          <w:bCs/>
          <w:color w:val="000000"/>
          <w:sz w:val="26"/>
          <w:szCs w:val="26"/>
        </w:rPr>
        <w:t xml:space="preserve">5.4 Hesaplama Kaynakları ve Çalıştırılabilirlik</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265"/>
        <w:gridCol w:w="5805"/>
      </w:tblGrid>
      <w:tr>
        <w:tc>
          <w:tcPr>
            <w:tcW w:type="dxa" w:w="3265"/>
            <w:tcBorders>
              <w:top w:val="single" w:color="AAAAAA" w:sz="1"/>
              <w:left w:val="single" w:color="AAAAAA" w:sz="1"/>
              <w:bottom w:val="single" w:color="AAAAAA" w:sz="1"/>
              <w:right w:val="single" w:color="AAAAAA" w:sz="1"/>
            </w:tcBorders>
            <w:shd w:fill="E2EEF9" w:val="clear"/>
            <w:tcMar>
              <w:top w:type="dxa" w:w="80"/>
              <w:left w:type="dxa" w:w="120"/>
              <w:bottom w:type="dxa" w:w="80"/>
              <w:right w:type="dxa" w:w="120"/>
            </w:tcMar>
            <w:vAlign w:val="center"/>
          </w:tcPr>
          <w:p>
            <w:pPr>
              <w:spacing w:line="276" w:after="0"/>
              <w:jc w:val="center"/>
            </w:pPr>
            <w:r>
              <w:rPr>
                <w:rFonts w:ascii="Aptos" w:cs="Aptos" w:eastAsia="Aptos" w:hAnsi="Aptos"/>
                <w:b/>
                <w:bCs/>
                <w:color w:val="000000"/>
                <w:sz w:val="22"/>
                <w:szCs w:val="22"/>
              </w:rPr>
              <w:t xml:space="preserve">Parametre</w:t>
            </w:r>
          </w:p>
        </w:tc>
        <w:tc>
          <w:tcPr>
            <w:tcW w:type="dxa" w:w="5805"/>
            <w:tcBorders>
              <w:top w:val="single" w:color="AAAAAA" w:sz="1"/>
              <w:left w:val="single" w:color="AAAAAA" w:sz="1"/>
              <w:bottom w:val="single" w:color="AAAAAA" w:sz="1"/>
              <w:right w:val="single" w:color="AAAAAA" w:sz="1"/>
            </w:tcBorders>
            <w:shd w:fill="E2EEF9" w:val="clear"/>
            <w:tcMar>
              <w:top w:type="dxa" w:w="80"/>
              <w:left w:type="dxa" w:w="120"/>
              <w:bottom w:type="dxa" w:w="80"/>
              <w:right w:type="dxa" w:w="120"/>
            </w:tcMar>
            <w:vAlign w:val="center"/>
          </w:tcPr>
          <w:p>
            <w:pPr>
              <w:spacing w:line="276" w:after="0"/>
              <w:jc w:val="center"/>
            </w:pPr>
            <w:r>
              <w:rPr>
                <w:rFonts w:ascii="Aptos" w:cs="Aptos" w:eastAsia="Aptos" w:hAnsi="Aptos"/>
                <w:b/>
                <w:bCs/>
                <w:color w:val="000000"/>
                <w:sz w:val="22"/>
                <w:szCs w:val="22"/>
              </w:rPr>
              <w:t xml:space="preserve">Değer</w:t>
            </w:r>
          </w:p>
        </w:tc>
      </w:tr>
      <w:tr>
        <w:tc>
          <w:tcPr>
            <w:tcW w:type="dxa" w:w="326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76" w:after="0"/>
              <w:jc w:val="center"/>
            </w:pPr>
            <w:r>
              <w:rPr>
                <w:rFonts w:ascii="Aptos" w:cs="Aptos" w:eastAsia="Aptos" w:hAnsi="Aptos"/>
                <w:b w:val="false"/>
                <w:bCs w:val="false"/>
                <w:color w:val="000000"/>
                <w:sz w:val="22"/>
                <w:szCs w:val="22"/>
              </w:rPr>
              <w:t xml:space="preserve">Donanım</w:t>
            </w:r>
          </w:p>
        </w:tc>
        <w:tc>
          <w:tcPr>
            <w:tcW w:type="dxa" w:w="580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76" w:after="0"/>
              <w:jc w:val="center"/>
            </w:pPr>
            <w:r>
              <w:rPr>
                <w:rFonts w:ascii="Aptos" w:cs="Aptos" w:eastAsia="Aptos" w:hAnsi="Aptos"/>
                <w:b w:val="false"/>
                <w:bCs w:val="false"/>
                <w:color w:val="000000"/>
                <w:sz w:val="22"/>
                <w:szCs w:val="22"/>
              </w:rPr>
              <w:t xml:space="preserve">Google Colab – Tesla T4 GPU (12 GB VRAM) / L4 GPU (24 GB VRAM), 13 GB RAM</w:t>
            </w:r>
          </w:p>
        </w:tc>
      </w:tr>
      <w:tr>
        <w:tc>
          <w:tcPr>
            <w:tcW w:type="dxa" w:w="326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76" w:after="0"/>
              <w:jc w:val="center"/>
            </w:pPr>
            <w:r>
              <w:rPr>
                <w:rFonts w:ascii="Aptos" w:cs="Aptos" w:eastAsia="Aptos" w:hAnsi="Aptos"/>
                <w:b w:val="false"/>
                <w:bCs w:val="false"/>
                <w:color w:val="000000"/>
                <w:sz w:val="22"/>
                <w:szCs w:val="22"/>
              </w:rPr>
              <w:t xml:space="preserve">Yazılım</w:t>
            </w:r>
          </w:p>
        </w:tc>
        <w:tc>
          <w:tcPr>
            <w:tcW w:type="dxa" w:w="580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76" w:after="0"/>
              <w:jc w:val="center"/>
            </w:pPr>
            <w:r>
              <w:rPr>
                <w:rFonts w:ascii="Aptos" w:cs="Aptos" w:eastAsia="Aptos" w:hAnsi="Aptos"/>
                <w:b w:val="false"/>
                <w:bCs w:val="false"/>
                <w:color w:val="000000"/>
                <w:sz w:val="22"/>
                <w:szCs w:val="22"/>
              </w:rPr>
              <w:t xml:space="preserve">Python 3.10, PyTorch 2.1, CatBoost 1.2, SHAP 0.42</w:t>
            </w:r>
          </w:p>
        </w:tc>
      </w:tr>
      <w:tr>
        <w:tc>
          <w:tcPr>
            <w:tcW w:type="dxa" w:w="326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76" w:after="0"/>
              <w:jc w:val="center"/>
            </w:pPr>
            <w:r>
              <w:rPr>
                <w:rFonts w:ascii="Aptos" w:cs="Aptos" w:eastAsia="Aptos" w:hAnsi="Aptos"/>
                <w:b w:val="false"/>
                <w:bCs w:val="false"/>
                <w:color w:val="000000"/>
                <w:sz w:val="22"/>
                <w:szCs w:val="22"/>
              </w:rPr>
              <w:t xml:space="preserve">Toplam Eğitim Süresi</w:t>
            </w:r>
          </w:p>
        </w:tc>
        <w:tc>
          <w:tcPr>
            <w:tcW w:type="dxa" w:w="580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76" w:after="0"/>
              <w:jc w:val="center"/>
            </w:pPr>
            <w:r>
              <w:rPr>
                <w:rFonts w:ascii="Aptos" w:cs="Aptos" w:eastAsia="Aptos" w:hAnsi="Aptos"/>
                <w:b w:val="false"/>
                <w:bCs w:val="false"/>
                <w:color w:val="000000"/>
                <w:sz w:val="22"/>
                <w:szCs w:val="22"/>
              </w:rPr>
              <w:t xml:space="preserve">~3 dakika (GPU hızlandırmalı)</w:t>
            </w:r>
          </w:p>
        </w:tc>
      </w:tr>
      <w:tr>
        <w:tc>
          <w:tcPr>
            <w:tcW w:type="dxa" w:w="326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76" w:after="0"/>
              <w:jc w:val="center"/>
            </w:pPr>
            <w:r>
              <w:rPr>
                <w:rFonts w:ascii="Aptos" w:cs="Aptos" w:eastAsia="Aptos" w:hAnsi="Aptos"/>
                <w:b w:val="false"/>
                <w:bCs w:val="false"/>
                <w:color w:val="000000"/>
                <w:sz w:val="22"/>
                <w:szCs w:val="22"/>
              </w:rPr>
              <w:t xml:space="preserve">Epoch Başına Süre</w:t>
            </w:r>
          </w:p>
        </w:tc>
        <w:tc>
          <w:tcPr>
            <w:tcW w:type="dxa" w:w="580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76" w:after="0"/>
              <w:jc w:val="center"/>
            </w:pPr>
            <w:r>
              <w:rPr>
                <w:rFonts w:ascii="Aptos" w:cs="Aptos" w:eastAsia="Aptos" w:hAnsi="Aptos"/>
                <w:b w:val="false"/>
                <w:bCs w:val="false"/>
                <w:color w:val="000000"/>
                <w:sz w:val="22"/>
                <w:szCs w:val="22"/>
              </w:rPr>
              <w:t xml:space="preserve">1.5–2 saniye</w:t>
            </w:r>
          </w:p>
        </w:tc>
      </w:tr>
      <w:tr>
        <w:tc>
          <w:tcPr>
            <w:tcW w:type="dxa" w:w="326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76" w:after="0"/>
              <w:jc w:val="center"/>
            </w:pPr>
            <w:r>
              <w:rPr>
                <w:rFonts w:ascii="Aptos" w:cs="Aptos" w:eastAsia="Aptos" w:hAnsi="Aptos"/>
                <w:b w:val="false"/>
                <w:bCs w:val="false"/>
                <w:color w:val="000000"/>
                <w:sz w:val="22"/>
                <w:szCs w:val="22"/>
              </w:rPr>
              <w:t xml:space="preserve">Tek Varyant İçin Çıkarım</w:t>
            </w:r>
          </w:p>
        </w:tc>
        <w:tc>
          <w:tcPr>
            <w:tcW w:type="dxa" w:w="580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76" w:after="0"/>
              <w:jc w:val="center"/>
            </w:pPr>
            <w:r>
              <w:rPr>
                <w:rFonts w:ascii="Aptos" w:cs="Aptos" w:eastAsia="Aptos" w:hAnsi="Aptos"/>
                <w:b w:val="false"/>
                <w:bCs w:val="false"/>
                <w:color w:val="000000"/>
                <w:sz w:val="22"/>
                <w:szCs w:val="22"/>
              </w:rPr>
              <w:t xml:space="preserve">&lt;5 ms</w:t>
            </w:r>
          </w:p>
        </w:tc>
      </w:tr>
      <w:tr>
        <w:tc>
          <w:tcPr>
            <w:tcW w:type="dxa" w:w="326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76" w:after="0"/>
              <w:jc w:val="center"/>
            </w:pPr>
            <w:r>
              <w:rPr>
                <w:rFonts w:ascii="Aptos" w:cs="Aptos" w:eastAsia="Aptos" w:hAnsi="Aptos"/>
                <w:b w:val="false"/>
                <w:bCs w:val="false"/>
                <w:color w:val="000000"/>
                <w:sz w:val="22"/>
                <w:szCs w:val="22"/>
              </w:rPr>
              <w:t xml:space="preserve">Tekrarlanabilirlik</w:t>
            </w:r>
          </w:p>
        </w:tc>
        <w:tc>
          <w:tcPr>
            <w:tcW w:type="dxa" w:w="580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76" w:after="0"/>
              <w:jc w:val="center"/>
            </w:pPr>
            <w:r>
              <w:rPr>
                <w:rFonts w:ascii="Aptos" w:cs="Aptos" w:eastAsia="Aptos" w:hAnsi="Aptos"/>
                <w:b w:val="false"/>
                <w:bCs w:val="false"/>
                <w:color w:val="000000"/>
                <w:sz w:val="22"/>
                <w:szCs w:val="22"/>
              </w:rPr>
              <w:t xml:space="preserve">seed = 42; tüm stokastik süreçler sabitlenmiştir</w:t>
            </w:r>
          </w:p>
        </w:tc>
      </w:tr>
    </w:tbl>
    <w:p>
      <w:pPr>
        <w:spacing w:line="276" w:after="0" w:before="0"/>
      </w:pPr>
      <w:r>
        <w:rPr>
          <w:rFonts w:ascii="Aptos" w:cs="Aptos" w:eastAsia="Aptos" w:hAnsi="Aptos"/>
          <w:b w:val="false"/>
          <w:bCs w:val="false"/>
          <w:i w:val="false"/>
          <w:iCs w:val="false"/>
          <w:color w:val="000000"/>
          <w:sz w:val="24"/>
          <w:szCs w:val="24"/>
        </w:rPr>
        <w:t xml:space="preserve"/>
      </w:r>
    </w:p>
    <w:p>
      <w:pPr>
        <w:pStyle w:val="Heading2"/>
        <w:spacing w:line="276" w:lineRule="auto" w:before="140" w:after="80"/>
        <w:jc w:val="left"/>
      </w:pPr>
      <w:r>
        <w:rPr>
          <w:rFonts w:ascii="Aptos" w:cs="Aptos" w:eastAsia="Aptos" w:hAnsi="Aptos"/>
          <w:b/>
          <w:bCs/>
          <w:color w:val="000000"/>
          <w:sz w:val="26"/>
          <w:szCs w:val="26"/>
        </w:rPr>
        <w:t xml:space="preserve">5.5 Özgünlük</w:t>
      </w:r>
    </w:p>
    <w:p>
      <w:pPr>
        <w:spacing w:line="276" w:lineRule="auto" w:before="0" w:after="120"/>
        <w:jc w:val="both"/>
      </w:pPr>
      <w:r>
        <w:rPr>
          <w:rFonts w:ascii="Aptos" w:cs="Aptos" w:eastAsia="Aptos" w:hAnsi="Aptos"/>
          <w:b/>
          <w:bCs/>
          <w:i w:val="false"/>
          <w:iCs w:val="false"/>
          <w:color w:val="000000"/>
          <w:sz w:val="24"/>
          <w:szCs w:val="24"/>
        </w:rPr>
        <w:t xml:space="preserve">Hibrit MoE ve Gating Yapısı: </w:t>
      </w:r>
      <w:r>
        <w:rPr>
          <w:rFonts w:ascii="Aptos" w:cs="Aptos" w:eastAsia="Aptos" w:hAnsi="Aptos"/>
          <w:b w:val="false"/>
          <w:bCs w:val="false"/>
          <w:i w:val="false"/>
          <w:iCs w:val="false"/>
          <w:color w:val="000000"/>
          <w:sz w:val="24"/>
          <w:szCs w:val="24"/>
        </w:rPr>
        <w:t xml:space="preserve">Literatürde genellikle ayrı ayrı kullanılan GBDT ve CNN yapıları, genetik varyant analizi için özgün bir MoEGating katmanı ile uçtan uca eğitilebilir tek bir mimaride birleştirilmiştir. Farklı gen panellerine özgü doğrusal ve doğrusal olmayan ilişki desenleri bu hibrit yapı sayesinde daha etkin biçimde modellenmiştir.</w:t>
      </w:r>
    </w:p>
    <w:p>
      <w:pPr>
        <w:spacing w:line="276" w:lineRule="auto" w:before="0" w:after="120"/>
        <w:jc w:val="both"/>
      </w:pPr>
      <w:r>
        <w:rPr>
          <w:rFonts w:ascii="Aptos" w:cs="Aptos" w:eastAsia="Aptos" w:hAnsi="Aptos"/>
          <w:b/>
          <w:bCs/>
          <w:i w:val="false"/>
          <w:iCs w:val="false"/>
          <w:color w:val="000000"/>
          <w:sz w:val="24"/>
          <w:szCs w:val="24"/>
        </w:rPr>
        <w:t xml:space="preserve">Özellik Gruplandırma Stratejisi: </w:t>
      </w:r>
      <w:r>
        <w:rPr>
          <w:rFonts w:ascii="Aptos" w:cs="Aptos" w:eastAsia="Aptos" w:hAnsi="Aptos"/>
          <w:b w:val="false"/>
          <w:bCs w:val="false"/>
          <w:i w:val="false"/>
          <w:iCs w:val="false"/>
          <w:color w:val="000000"/>
          <w:sz w:val="24"/>
          <w:szCs w:val="24"/>
        </w:rPr>
        <w:t xml:space="preserve">Kolon isimlerinden bağımsız olarak özellikler evrimsel korunmuşluk, popülasyon frekansı ve biyokimyasal değişim (Delta skorları) olarak kategorize edilmiştir. Bu gruplandırma, SHAP analizinin kolon isimleri gizli bir ortamda da yorumlanabilir sonuçlar üretmesini sağlamıştır.</w:t>
      </w:r>
    </w:p>
    <w:p>
      <w:pPr>
        <w:spacing w:line="276" w:lineRule="auto" w:before="0" w:after="120"/>
        <w:jc w:val="both"/>
      </w:pPr>
      <w:r>
        <w:rPr>
          <w:rFonts w:ascii="Aptos" w:cs="Aptos" w:eastAsia="Aptos" w:hAnsi="Aptos"/>
          <w:b/>
          <w:bCs/>
          <w:i w:val="false"/>
          <w:iCs w:val="false"/>
          <w:color w:val="000000"/>
          <w:sz w:val="24"/>
          <w:szCs w:val="24"/>
        </w:rPr>
        <w:t xml:space="preserve">Biyokimyasal Türetilmiş Özellikler: </w:t>
      </w:r>
      <w:r>
        <w:rPr>
          <w:rFonts w:ascii="Aptos" w:cs="Aptos" w:eastAsia="Aptos" w:hAnsi="Aptos"/>
          <w:b w:val="false"/>
          <w:bCs w:val="false"/>
          <w:i w:val="false"/>
          <w:iCs w:val="false"/>
          <w:color w:val="000000"/>
          <w:sz w:val="24"/>
          <w:szCs w:val="24"/>
        </w:rPr>
        <w:t xml:space="preserve">Hazır in-silico skorların ötesine geçilerek aminoasit değişimlerinin fizikokimyasal etkilerini temsil eden Delta_MW (moleküler ağırlık farkı), Delta_Hydro (hidrofobiklik farkı) ve Delta_Charge (yük farkı) özellikleri türetilmiştir. Bu özellikler, gri bölge vakalarındaki model doğruluğuna ölçülebilir katkı sağlamıştır.</w:t>
      </w:r>
    </w:p>
    <w:p>
      <w:pPr>
        <w:pStyle w:val="Heading1"/>
        <w:spacing w:line="276" w:lineRule="auto" w:before="160" w:after="120"/>
        <w:jc w:val="left"/>
      </w:pPr>
      <w:r>
        <w:rPr>
          <w:rFonts w:ascii="Aptos" w:cs="Aptos" w:eastAsia="Aptos" w:hAnsi="Aptos"/>
          <w:b/>
          <w:bCs/>
          <w:color w:val="000000"/>
          <w:sz w:val="28"/>
          <w:szCs w:val="28"/>
        </w:rPr>
        <w:t xml:space="preserve">REFERANSLAR</w:t>
      </w:r>
    </w:p>
    <w:p>
      <w:pPr>
        <w:spacing w:line="276" w:lineRule="auto" w:before="0" w:after="120"/>
        <w:jc w:val="both"/>
      </w:pPr>
      <w:r>
        <w:rPr>
          <w:rFonts w:ascii="Aptos" w:cs="Aptos" w:eastAsia="Aptos" w:hAnsi="Aptos"/>
          <w:b w:val="false"/>
          <w:bCs w:val="false"/>
          <w:i w:val="false"/>
          <w:iCs w:val="false"/>
          <w:color w:val="000000"/>
          <w:sz w:val="24"/>
          <w:szCs w:val="24"/>
        </w:rPr>
        <w:t xml:space="preserve">[1] J. Cheng et al., "Accurate proteome-wide missense variant effect prediction with AlphaMissense," </w:t>
      </w:r>
      <w:r>
        <w:rPr>
          <w:rFonts w:ascii="Aptos" w:cs="Aptos" w:eastAsia="Aptos" w:hAnsi="Aptos"/>
          <w:b w:val="false"/>
          <w:bCs w:val="false"/>
          <w:i/>
          <w:iCs/>
          <w:color w:val="000000"/>
          <w:sz w:val="24"/>
          <w:szCs w:val="24"/>
        </w:rPr>
        <w:t xml:space="preserve">Science</w:t>
      </w:r>
      <w:r>
        <w:rPr>
          <w:rFonts w:ascii="Aptos" w:cs="Aptos" w:eastAsia="Aptos" w:hAnsi="Aptos"/>
          <w:b w:val="false"/>
          <w:bCs w:val="false"/>
          <w:i w:val="false"/>
          <w:iCs w:val="false"/>
          <w:color w:val="000000"/>
          <w:sz w:val="24"/>
          <w:szCs w:val="24"/>
        </w:rPr>
        <w:t xml:space="preserve">, vol. 381, no. 6664, 2023.</w:t>
      </w:r>
    </w:p>
    <w:p>
      <w:pPr>
        <w:spacing w:line="276" w:lineRule="auto" w:before="0" w:after="120"/>
        <w:jc w:val="both"/>
      </w:pPr>
      <w:r>
        <w:rPr>
          <w:rFonts w:ascii="Aptos" w:cs="Aptos" w:eastAsia="Aptos" w:hAnsi="Aptos"/>
          <w:b w:val="false"/>
          <w:bCs w:val="false"/>
          <w:i w:val="false"/>
          <w:iCs w:val="false"/>
          <w:color w:val="000000"/>
          <w:sz w:val="24"/>
          <w:szCs w:val="24"/>
        </w:rPr>
        <w:t xml:space="preserve">[2] N. M. Ioannidis et al., "REVEL: An ensemble method for predicting the pathogenicity of rare missense variants," </w:t>
      </w:r>
      <w:r>
        <w:rPr>
          <w:rFonts w:ascii="Aptos" w:cs="Aptos" w:eastAsia="Aptos" w:hAnsi="Aptos"/>
          <w:b w:val="false"/>
          <w:bCs w:val="false"/>
          <w:i/>
          <w:iCs/>
          <w:color w:val="000000"/>
          <w:sz w:val="24"/>
          <w:szCs w:val="24"/>
        </w:rPr>
        <w:t xml:space="preserve">Am. J. Hum. Genet.</w:t>
      </w:r>
      <w:r>
        <w:rPr>
          <w:rFonts w:ascii="Aptos" w:cs="Aptos" w:eastAsia="Aptos" w:hAnsi="Aptos"/>
          <w:b w:val="false"/>
          <w:bCs w:val="false"/>
          <w:i w:val="false"/>
          <w:iCs w:val="false"/>
          <w:color w:val="000000"/>
          <w:sz w:val="24"/>
          <w:szCs w:val="24"/>
        </w:rPr>
        <w:t xml:space="preserve">, vol. 99, no. 4, pp. 877–885, 2016.</w:t>
      </w:r>
    </w:p>
    <w:p>
      <w:pPr>
        <w:spacing w:line="276" w:lineRule="auto" w:before="0" w:after="120"/>
        <w:jc w:val="both"/>
      </w:pPr>
      <w:r>
        <w:rPr>
          <w:rFonts w:ascii="Aptos" w:cs="Aptos" w:eastAsia="Aptos" w:hAnsi="Aptos"/>
          <w:b w:val="false"/>
          <w:bCs w:val="false"/>
          <w:i w:val="false"/>
          <w:iCs w:val="false"/>
          <w:color w:val="000000"/>
          <w:sz w:val="24"/>
          <w:szCs w:val="24"/>
        </w:rPr>
        <w:t xml:space="preserve">[3] B.-H. Feng, "BayesDel: A unified framework for predicting deleteriousness of missense variants," </w:t>
      </w:r>
      <w:r>
        <w:rPr>
          <w:rFonts w:ascii="Aptos" w:cs="Aptos" w:eastAsia="Aptos" w:hAnsi="Aptos"/>
          <w:b w:val="false"/>
          <w:bCs w:val="false"/>
          <w:i/>
          <w:iCs/>
          <w:color w:val="000000"/>
          <w:sz w:val="24"/>
          <w:szCs w:val="24"/>
        </w:rPr>
        <w:t xml:space="preserve">Hum. Mutat.</w:t>
      </w:r>
      <w:r>
        <w:rPr>
          <w:rFonts w:ascii="Aptos" w:cs="Aptos" w:eastAsia="Aptos" w:hAnsi="Aptos"/>
          <w:b w:val="false"/>
          <w:bCs w:val="false"/>
          <w:i w:val="false"/>
          <w:iCs w:val="false"/>
          <w:color w:val="000000"/>
          <w:sz w:val="24"/>
          <w:szCs w:val="24"/>
        </w:rPr>
        <w:t xml:space="preserve">, 2017.</w:t>
      </w:r>
    </w:p>
    <w:p>
      <w:pPr>
        <w:spacing w:line="276" w:lineRule="auto" w:before="0" w:after="120"/>
        <w:jc w:val="both"/>
      </w:pPr>
      <w:r>
        <w:rPr>
          <w:rFonts w:ascii="Aptos" w:cs="Aptos" w:eastAsia="Aptos" w:hAnsi="Aptos"/>
          <w:b w:val="false"/>
          <w:bCs w:val="false"/>
          <w:i w:val="false"/>
          <w:iCs w:val="false"/>
          <w:color w:val="000000"/>
          <w:sz w:val="24"/>
          <w:szCs w:val="24"/>
        </w:rPr>
        <w:t xml:space="preserve">[4] E. H. Tian et al., "REVEL and BayesDel outperform other in silico meta-predictors for clinical variant classification," </w:t>
      </w:r>
      <w:r>
        <w:rPr>
          <w:rFonts w:ascii="Aptos" w:cs="Aptos" w:eastAsia="Aptos" w:hAnsi="Aptos"/>
          <w:b w:val="false"/>
          <w:bCs w:val="false"/>
          <w:i/>
          <w:iCs/>
          <w:color w:val="000000"/>
          <w:sz w:val="24"/>
          <w:szCs w:val="24"/>
        </w:rPr>
        <w:t xml:space="preserve">Sci. Rep.</w:t>
      </w:r>
      <w:r>
        <w:rPr>
          <w:rFonts w:ascii="Aptos" w:cs="Aptos" w:eastAsia="Aptos" w:hAnsi="Aptos"/>
          <w:b w:val="false"/>
          <w:bCs w:val="false"/>
          <w:i w:val="false"/>
          <w:iCs w:val="false"/>
          <w:color w:val="000000"/>
          <w:sz w:val="24"/>
          <w:szCs w:val="24"/>
        </w:rPr>
        <w:t xml:space="preserve">, vol. 9, no. 1, p. 12752, 2019.</w:t>
      </w:r>
    </w:p>
    <w:p>
      <w:pPr>
        <w:spacing w:line="276" w:lineRule="auto" w:before="0" w:after="120"/>
        <w:jc w:val="both"/>
      </w:pPr>
      <w:r>
        <w:rPr>
          <w:rFonts w:ascii="Aptos" w:cs="Aptos" w:eastAsia="Aptos" w:hAnsi="Aptos"/>
          <w:b w:val="false"/>
          <w:bCs w:val="false"/>
          <w:i w:val="false"/>
          <w:iCs w:val="false"/>
          <w:color w:val="000000"/>
          <w:sz w:val="24"/>
          <w:szCs w:val="24"/>
        </w:rPr>
        <w:t xml:space="preserve">[5] J. Frazer et al., "Disease variant prediction with deep generative models of evolutionary data," </w:t>
      </w:r>
      <w:r>
        <w:rPr>
          <w:rFonts w:ascii="Aptos" w:cs="Aptos" w:eastAsia="Aptos" w:hAnsi="Aptos"/>
          <w:b w:val="false"/>
          <w:bCs w:val="false"/>
          <w:i/>
          <w:iCs/>
          <w:color w:val="000000"/>
          <w:sz w:val="24"/>
          <w:szCs w:val="24"/>
        </w:rPr>
        <w:t xml:space="preserve">Nature</w:t>
      </w:r>
      <w:r>
        <w:rPr>
          <w:rFonts w:ascii="Aptos" w:cs="Aptos" w:eastAsia="Aptos" w:hAnsi="Aptos"/>
          <w:b w:val="false"/>
          <w:bCs w:val="false"/>
          <w:i w:val="false"/>
          <w:iCs w:val="false"/>
          <w:color w:val="000000"/>
          <w:sz w:val="24"/>
          <w:szCs w:val="24"/>
        </w:rPr>
        <w:t xml:space="preserve">, vol. 599, pp. 91–95, 2021.</w:t>
      </w:r>
    </w:p>
    <w:p>
      <w:pPr>
        <w:spacing w:line="276" w:lineRule="auto" w:before="0" w:after="120"/>
        <w:jc w:val="both"/>
      </w:pPr>
      <w:r>
        <w:rPr>
          <w:rFonts w:ascii="Aptos" w:cs="Aptos" w:eastAsia="Aptos" w:hAnsi="Aptos"/>
          <w:b w:val="false"/>
          <w:bCs w:val="false"/>
          <w:i w:val="false"/>
          <w:iCs w:val="false"/>
          <w:color w:val="000000"/>
          <w:sz w:val="24"/>
          <w:szCs w:val="24"/>
        </w:rPr>
        <w:t xml:space="preserve">[6] P. Katsonis et al., "Gene-specific machine learning for pathogenicity prediction of rare BRCA1 and BRCA2 missense variants," </w:t>
      </w:r>
      <w:r>
        <w:rPr>
          <w:rFonts w:ascii="Aptos" w:cs="Aptos" w:eastAsia="Aptos" w:hAnsi="Aptos"/>
          <w:b w:val="false"/>
          <w:bCs w:val="false"/>
          <w:i/>
          <w:iCs/>
          <w:color w:val="000000"/>
          <w:sz w:val="24"/>
          <w:szCs w:val="24"/>
        </w:rPr>
        <w:t xml:space="preserve">Sci. Rep.</w:t>
      </w:r>
      <w:r>
        <w:rPr>
          <w:rFonts w:ascii="Aptos" w:cs="Aptos" w:eastAsia="Aptos" w:hAnsi="Aptos"/>
          <w:b w:val="false"/>
          <w:bCs w:val="false"/>
          <w:i w:val="false"/>
          <w:iCs w:val="false"/>
          <w:color w:val="000000"/>
          <w:sz w:val="24"/>
          <w:szCs w:val="24"/>
        </w:rPr>
        <w:t xml:space="preserve">, vol. 13, 2023.</w:t>
      </w:r>
    </w:p>
    <w:p>
      <w:pPr>
        <w:spacing w:line="276" w:lineRule="auto" w:before="0" w:after="120"/>
        <w:jc w:val="both"/>
      </w:pPr>
      <w:r>
        <w:rPr>
          <w:rFonts w:ascii="Aptos" w:cs="Aptos" w:eastAsia="Aptos" w:hAnsi="Aptos"/>
          <w:b w:val="false"/>
          <w:bCs w:val="false"/>
          <w:i w:val="false"/>
          <w:iCs w:val="false"/>
          <w:color w:val="000000"/>
          <w:sz w:val="24"/>
          <w:szCs w:val="24"/>
        </w:rPr>
        <w:t xml:space="preserve">[7] S. M. Lundberg and S.-I. Lee, "A unified approach to interpreting model predictions," in </w:t>
      </w:r>
      <w:r>
        <w:rPr>
          <w:rFonts w:ascii="Aptos" w:cs="Aptos" w:eastAsia="Aptos" w:hAnsi="Aptos"/>
          <w:b w:val="false"/>
          <w:bCs w:val="false"/>
          <w:i/>
          <w:iCs/>
          <w:color w:val="000000"/>
          <w:sz w:val="24"/>
          <w:szCs w:val="24"/>
        </w:rPr>
        <w:t xml:space="preserve">Adv. Neural Inf. Process. Syst. (NeurIPS)</w:t>
      </w:r>
      <w:r>
        <w:rPr>
          <w:rFonts w:ascii="Aptos" w:cs="Aptos" w:eastAsia="Aptos" w:hAnsi="Aptos"/>
          <w:b w:val="false"/>
          <w:bCs w:val="false"/>
          <w:i w:val="false"/>
          <w:iCs w:val="false"/>
          <w:color w:val="000000"/>
          <w:sz w:val="24"/>
          <w:szCs w:val="24"/>
        </w:rPr>
        <w:t xml:space="preserve">, 2017, pp. 4765–4774.</w:t>
      </w:r>
    </w:p>
    <w:p>
      <w:pPr>
        <w:spacing w:line="276" w:lineRule="auto" w:before="0" w:after="120"/>
        <w:jc w:val="both"/>
      </w:pPr>
      <w:r>
        <w:rPr>
          <w:rFonts w:ascii="Aptos" w:cs="Aptos" w:eastAsia="Aptos" w:hAnsi="Aptos"/>
          <w:b w:val="false"/>
          <w:bCs w:val="false"/>
          <w:i w:val="false"/>
          <w:iCs w:val="false"/>
          <w:color w:val="000000"/>
          <w:sz w:val="24"/>
          <w:szCs w:val="24"/>
        </w:rPr>
        <w:t xml:space="preserve">[8] K. J. Karczewski et al., "The mutational constraint spectrum from variation in 141,456 humans," </w:t>
      </w:r>
      <w:r>
        <w:rPr>
          <w:rFonts w:ascii="Aptos" w:cs="Aptos" w:eastAsia="Aptos" w:hAnsi="Aptos"/>
          <w:b w:val="false"/>
          <w:bCs w:val="false"/>
          <w:i/>
          <w:iCs/>
          <w:color w:val="000000"/>
          <w:sz w:val="24"/>
          <w:szCs w:val="24"/>
        </w:rPr>
        <w:t xml:space="preserve">Nature</w:t>
      </w:r>
      <w:r>
        <w:rPr>
          <w:rFonts w:ascii="Aptos" w:cs="Aptos" w:eastAsia="Aptos" w:hAnsi="Aptos"/>
          <w:b w:val="false"/>
          <w:bCs w:val="false"/>
          <w:i w:val="false"/>
          <w:iCs w:val="false"/>
          <w:color w:val="000000"/>
          <w:sz w:val="24"/>
          <w:szCs w:val="24"/>
        </w:rPr>
        <w:t xml:space="preserve">, vol. 581, pp. 434–443, 2020.</w:t>
      </w:r>
    </w:p>
    <w:sectPr>
      <w:headerReference w:type="default" r:id="rId6"/>
      <w:footerReference w:type="default" r:id="rId7"/>
      <w:pgSz w:w="11906" w:h="16838" w:orient="portrait"/>
      <w:pgMar w:top="158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0"/>
      <w:jc w:val="center"/>
    </w:pPr>
    <w:r>
      <w:rPr>
        <w:rFonts w:ascii="Aptos" w:cs="Aptos" w:eastAsia="Aptos" w:hAnsi="Aptos"/>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0"/>
      <w:jc w:val="right"/>
    </w:pPr>
    <w:r>
      <w:rPr>
        <w:rFonts w:ascii="Aptos" w:cs="Aptos" w:eastAsia="Aptos" w:hAnsi="Aptos"/>
        <w:color w:val="595959"/>
        <w:sz w:val="18"/>
        <w:szCs w:val="18"/>
      </w:rPr>
      <w:t xml:space="preserve">TEKNOFEST 2026 – Sağlıkta Yapay Zeka | MoE V2 PSR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00000"/>
        <w:sz w:val="24"/>
        <w:szCs w:val="24"/>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60" w:after="120" w:line="276" w:lineRule="auto"/>
      <w:outlineLvl w:val="0"/>
    </w:pPr>
    <w:rPr>
      <w:rFonts w:ascii="Aptos" w:cs="Aptos" w:eastAsia="Aptos" w:hAnsi="Aptos"/>
      <w:b/>
      <w:bCs/>
      <w:color w:val="000000"/>
      <w:sz w:val="28"/>
      <w:szCs w:val="28"/>
    </w:rPr>
  </w:style>
  <w:style w:type="paragraph" w:styleId="Heading2">
    <w:name w:val="Heading 2"/>
    <w:basedOn w:val="Normal"/>
    <w:next w:val="Normal"/>
    <w:qFormat/>
    <w:pPr>
      <w:spacing w:before="140" w:after="80" w:line="276" w:lineRule="auto"/>
      <w:outlineLvl w:val="1"/>
    </w:pPr>
    <w:rPr>
      <w:rFonts w:ascii="Aptos" w:cs="Aptos" w:eastAsia="Aptos" w:hAnsi="Aptos"/>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2026-03-25T13:24:33.377Z</dcterms:created>
  <dcterms:modified xsi:type="dcterms:W3CDTF">2026-03-25T13:24:33.377Z</dcterms:modified>
</cp:coreProperties>
</file>

<file path=docProps/custom.xml><?xml version="1.0" encoding="utf-8"?>
<Properties xmlns="http://schemas.openxmlformats.org/officeDocument/2006/custom-properties" xmlns:vt="http://schemas.openxmlformats.org/officeDocument/2006/docPropsVTypes"/>
</file>