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C8A3C"/>
          <w:spacing w:val="60"/>
          <w:sz w:val="22"/>
          <w:szCs w:val="22"/>
        </w:rPr>
        <w:t xml:space="preserve">Northpeak Outfitters</w:t>
      </w:r>
    </w:p>
    <w:p>
      <w:pPr>
        <w:spacing w:after="180"/>
      </w:pPr>
      <w:r>
        <w:rPr>
          <w:rFonts w:ascii="Cambria" w:cs="Cambria" w:eastAsia="Cambria" w:hAnsi="Cambria"/>
          <w:b/>
          <w:bCs/>
          <w:color w:val="2C5F2D"/>
          <w:sz w:val="46"/>
          <w:szCs w:val="46"/>
        </w:rPr>
        <w:t xml:space="preserve">Five-minute walkthrough script</w:t>
      </w:r>
    </w:p>
    <w:p>
      <w:pPr>
        <w:spacing w:after="160" w:line="300"/>
      </w:pPr>
      <w:r>
        <w:rPr>
          <w:color w:val="1F1F1B"/>
          <w:sz w:val="22"/>
          <w:szCs w:val="22"/>
        </w:rPr>
        <w:t xml:space="preserve">Three edge cases, not four — the lead-time disruption is deliberately dropped, for reasons at the end. 857 spoken words: about 5:25 at an unhurried 155 words per minute, or just under 5:00 at a normal presenting pace of 175. If you speak slowly, drop the final paragraph of Section 4 to reach 4:50 either way.</w:t>
      </w:r>
    </w:p>
    <w:p>
      <w:pPr>
        <w:spacing w:after="200" w:line="280"/>
      </w:pPr>
      <w:r>
        <w:rPr>
          <w:i/>
          <w:iCs/>
          <w:color w:val="A34430"/>
          <w:sz w:val="20"/>
          <w:szCs w:val="20"/>
        </w:rPr>
        <w:t xml:space="preserve">Every figure below was verified against the current engine. If a number on screen disagrees with the script, the deployed app is running older code — push the current engine files and reboot before recording.</w:t>
      </w:r>
    </w:p>
    <w:p>
      <w:pPr>
        <w:pBdr>
          <w:left w:val="single" w:color="6E6E66" w:sz="14" w:space="10"/>
        </w:pBdr>
        <w:shd w:fill="F4F5F1" w:val="clear"/>
        <w:spacing w:after="120" w:line="290"/>
        <w:ind w:left="120"/>
      </w:pPr>
      <w:r>
        <w:rPr>
          <w:b/>
          <w:bCs/>
          <w:color w:val="1F1F1B"/>
          <w:sz w:val="21"/>
          <w:szCs w:val="21"/>
        </w:rPr>
        <w:t xml:space="preserve">Before you start.  </w:t>
      </w:r>
      <w:r>
        <w:rPr>
          <w:color w:val="1F1F1B"/>
          <w:sz w:val="21"/>
          <w:szCs w:val="21"/>
        </w:rPr>
        <w:t xml:space="preserve">Open as_is_process_diagram_only.svg and agentic_workflow_diagram_only.svg in browser tabs. Use the diagram-only versions — the full ones carry paragraphs of body text that are unreadable on a screen share.</w:t>
      </w:r>
    </w:p>
    <w:p>
      <w:pPr>
        <w:spacing w:after="80" w:before="200"/>
      </w:pPr>
      <w:r>
        <w:rPr>
          <w:i/>
          <w:iCs/>
          <w:color w:val="6E6E66"/>
          <w:sz w:val="19"/>
          <w:szCs w:val="19"/>
        </w:rPr>
        <w:t xml:space="preserve">Text in green boxes is what you do. Everything in large type is what you say.</w:t>
      </w:r>
    </w:p>
    <w:p>
      <w:pPr>
        <w:pBdr>
          <w:bottom w:val="single" w:color="D9DED3" w:sz="6" w:space="6"/>
        </w:pBdr>
        <w:spacing w:after="200" w:before="420"/>
      </w:pPr>
      <w:r>
        <w:rPr>
          <w:rFonts w:ascii="Cambria" w:cs="Cambria" w:eastAsia="Cambria" w:hAnsi="Cambria"/>
          <w:b/>
          <w:bCs/>
          <w:color w:val="2C5F2D"/>
          <w:sz w:val="30"/>
          <w:szCs w:val="30"/>
        </w:rPr>
        <w:t xml:space="preserve">Section 1 — The two workflows</w:t>
      </w:r>
      <w:r>
        <w:rPr>
          <w:rFonts w:ascii="Cambria" w:cs="Cambria" w:eastAsia="Cambria" w:hAnsi="Cambria"/>
          <w:color w:val="6E6E66"/>
          <w:sz w:val="22"/>
          <w:szCs w:val="22"/>
        </w:rPr>
        <w:t xml:space="preserve">   0:00–0:55</w:t>
      </w:r>
    </w:p>
    <w:p>
      <w:pPr>
        <w:pBdr>
          <w:left w:val="single" w:color="5C8A3C" w:sz="18" w:space="10"/>
        </w:pBdr>
        <w:shd w:fill="F1F5EE" w:val="clear"/>
        <w:spacing w:after="140" w:before="200"/>
        <w:ind w:left="120"/>
      </w:pPr>
      <w:r>
        <w:rPr>
          <w:b/>
          <w:bCs/>
          <w:color w:val="2C5F2D"/>
          <w:sz w:val="21"/>
          <w:szCs w:val="21"/>
        </w:rPr>
        <w:t xml:space="preserve">Show  as_is_process_diagram_only.svg</w:t>
      </w:r>
    </w:p>
    <w:p>
      <w:pPr>
        <w:spacing w:after="200" w:line="380"/>
        <w:ind w:left="260"/>
      </w:pPr>
      <w:r>
        <w:rPr>
          <w:color w:val="1F1F1B"/>
          <w:sz w:val="26"/>
          <w:szCs w:val="26"/>
        </w:rPr>
        <w:t xml:space="preserve">Replenishment at this retailer is entirely manual. A planner exports sales from the ERP, scrolls a spreadsheet, sets reorder quantities on judgement, and keys them back in — about half a day, every week. There's no review step and no audit trail. Six months later nobody, including the planner, can say why an order was four hundred units rather than two hundred.</w:t>
      </w:r>
    </w:p>
    <w:p>
      <w:pPr>
        <w:pBdr>
          <w:left w:val="single" w:color="5C8A3C" w:sz="18" w:space="10"/>
        </w:pBdr>
        <w:shd w:fill="F1F5EE" w:val="clear"/>
        <w:spacing w:after="140" w:before="200"/>
        <w:ind w:left="120"/>
      </w:pPr>
      <w:r>
        <w:rPr>
          <w:b/>
          <w:bCs/>
          <w:color w:val="2C5F2D"/>
          <w:sz w:val="21"/>
          <w:szCs w:val="21"/>
        </w:rPr>
        <w:t xml:space="preserve">Show  agentic_workflow_diagram_only.svg</w:t>
      </w:r>
    </w:p>
    <w:p>
      <w:pPr>
        <w:spacing w:after="200" w:line="380"/>
        <w:ind w:left="260"/>
      </w:pPr>
      <w:r>
        <w:rPr>
          <w:color w:val="1F1F1B"/>
          <w:sz w:val="26"/>
          <w:szCs w:val="26"/>
        </w:rPr>
        <w:t xml:space="preserve">I rebuilt it as an agentic loop — sense, decide, act, escalate. The agent reads the data, sizes a reorder with an explicit confidence score, drafts the order with its reasoning attached, and holds back anything it's unsure about or anything about to run dry. The planner isn't removed from the loop. Their judgement is concentrated at the one point it's worth spending, instead of being spread across every step with nothing checked.</w:t>
      </w:r>
    </w:p>
    <w:p>
      <w:pPr>
        <w:pBdr>
          <w:bottom w:val="single" w:color="D9DED3" w:sz="6" w:space="6"/>
        </w:pBdr>
        <w:spacing w:after="200" w:before="420"/>
      </w:pPr>
      <w:r>
        <w:rPr>
          <w:rFonts w:ascii="Cambria" w:cs="Cambria" w:eastAsia="Cambria" w:hAnsi="Cambria"/>
          <w:b/>
          <w:bCs/>
          <w:color w:val="2C5F2D"/>
          <w:sz w:val="30"/>
          <w:szCs w:val="30"/>
        </w:rPr>
        <w:t xml:space="preserve">Section 2 — The prototype and three hard cases</w:t>
      </w:r>
      <w:r>
        <w:rPr>
          <w:rFonts w:ascii="Cambria" w:cs="Cambria" w:eastAsia="Cambria" w:hAnsi="Cambria"/>
          <w:color w:val="6E6E66"/>
          <w:sz w:val="22"/>
          <w:szCs w:val="22"/>
        </w:rPr>
        <w:t xml:space="preserve">   0:55–2:55</w:t>
      </w:r>
    </w:p>
    <w:p>
      <w:pPr>
        <w:pBdr>
          <w:left w:val="single" w:color="5C8A3C" w:sz="18" w:space="10"/>
        </w:pBdr>
        <w:shd w:fill="F1F5EE" w:val="clear"/>
        <w:spacing w:after="140" w:before="200"/>
        <w:ind w:left="120"/>
      </w:pPr>
      <w:r>
        <w:rPr>
          <w:b/>
          <w:bCs/>
          <w:color w:val="2C5F2D"/>
          <w:sz w:val="21"/>
          <w:szCs w:val="21"/>
        </w:rPr>
        <w:t xml:space="preserve">Switch to the running app  ·  Dashboard tab</w:t>
      </w:r>
    </w:p>
    <w:p>
      <w:pPr>
        <w:spacing w:after="200" w:line="380"/>
        <w:ind w:left="260"/>
      </w:pPr>
      <w:r>
        <w:rPr>
          <w:color w:val="1F1F1B"/>
          <w:sz w:val="26"/>
          <w:szCs w:val="26"/>
        </w:rPr>
        <w:t xml:space="preserve">Twenty-six weeks of synthetic data, fifteen products, split by online and in-store channel. Every row is a recommendation the agent has already computed, sorted by confidence — the buckle at 40% and the jacket at 50% sit at the top, and the products it has no doubts about sit below.</w:t>
      </w:r>
    </w:p>
    <w:p>
      <w:pPr>
        <w:pBdr>
          <w:left w:val="single" w:color="5C8A3C" w:sz="18" w:space="10"/>
        </w:pBdr>
        <w:shd w:fill="F1F5EE" w:val="clear"/>
        <w:spacing w:after="140" w:before="200"/>
        <w:ind w:left="120"/>
      </w:pPr>
      <w:r>
        <w:rPr>
          <w:b/>
          <w:bCs/>
          <w:color w:val="2C5F2D"/>
          <w:sz w:val="21"/>
          <w:szCs w:val="21"/>
        </w:rPr>
        <w:t xml:space="preserve">Select  APP-1042  in the SKU selector</w:t>
      </w:r>
    </w:p>
    <w:p>
      <w:pPr>
        <w:spacing w:after="200" w:line="380"/>
        <w:ind w:left="260"/>
      </w:pPr>
      <w:r>
        <w:rPr>
          <w:b/>
          <w:bCs/>
          <w:color w:val="2C5F2D"/>
          <w:sz w:val="26"/>
          <w:szCs w:val="26"/>
        </w:rPr>
        <w:t xml:space="preserve">The jacket that went viral. </w:t>
      </w:r>
      <w:r>
        <w:rPr>
          <w:color w:val="1F1F1B"/>
          <w:sz w:val="26"/>
          <w:szCs w:val="26"/>
        </w:rPr>
        <w:t xml:space="preserve">It normally sells 39 a week. For three weeks it sold 188, 176, 188 — mostly online, from an influencer video.</w:t>
      </w:r>
    </w:p>
    <w:p>
      <w:pPr>
        <w:spacing w:after="200" w:line="380"/>
        <w:ind w:left="260"/>
      </w:pPr>
      <w:r>
        <w:rPr>
          <w:color w:val="1F1F1B"/>
          <w:sz w:val="26"/>
          <w:szCs w:val="26"/>
        </w:rPr>
        <w:t xml:space="preserve">The obvious fix is to fall back to a longer averaging window and let the spike wash out. That doesn't work, and this is the most instructive thing in the build: the spike weeks sit inside that longer window too. The eight-week average is 95 units against a true baseline of 42. The first version of this system was over-ordering by more than double while its own reasoning told the planner it had corrected for the spike.</w:t>
      </w:r>
    </w:p>
    <w:p>
      <w:pPr>
        <w:spacing w:after="200" w:line="380"/>
        <w:ind w:left="260"/>
      </w:pPr>
      <w:r>
        <w:rPr>
          <w:color w:val="1F1F1B"/>
          <w:sz w:val="26"/>
          <w:szCs w:val="26"/>
        </w:rPr>
        <w:t xml:space="preserve">So the agent now excludes the flagged event weeks outright and sizes against 42 — and the reasoning says explicitly that the eight-week figure isn't a clean baseline either. Confidence drops to 50%.</w:t>
      </w:r>
    </w:p>
    <w:p>
      <w:pPr>
        <w:pBdr>
          <w:left w:val="single" w:color="5C8A3C" w:sz="18" w:space="10"/>
        </w:pBdr>
        <w:shd w:fill="F1F5EE" w:val="clear"/>
        <w:spacing w:after="140" w:before="200"/>
        <w:ind w:left="120"/>
      </w:pPr>
      <w:r>
        <w:rPr>
          <w:b/>
          <w:bCs/>
          <w:color w:val="2C5F2D"/>
          <w:sz w:val="21"/>
          <w:szCs w:val="21"/>
        </w:rPr>
        <w:t xml:space="preserve">Select  APP-2210</w:t>
      </w:r>
    </w:p>
    <w:p>
      <w:pPr>
        <w:spacing w:after="200" w:line="380"/>
        <w:ind w:left="260"/>
      </w:pPr>
      <w:r>
        <w:rPr>
          <w:b/>
          <w:bCs/>
          <w:color w:val="2C5F2D"/>
          <w:sz w:val="26"/>
          <w:szCs w:val="26"/>
        </w:rPr>
        <w:t xml:space="preserve">The customers who quietly moved online. </w:t>
      </w:r>
      <w:r>
        <w:rPr>
          <w:color w:val="1F1F1B"/>
          <w:sz w:val="26"/>
          <w:szCs w:val="26"/>
        </w:rPr>
        <w:t xml:space="preserve">Total units barely move — around thirty a week, before and after. Nothing looks unusual in the total at all.</w:t>
      </w:r>
    </w:p>
    <w:p>
      <w:pPr>
        <w:spacing w:after="200" w:line="380"/>
        <w:ind w:left="260"/>
      </w:pPr>
      <w:r>
        <w:rPr>
          <w:color w:val="1F1F1B"/>
          <w:sz w:val="26"/>
          <w:szCs w:val="26"/>
        </w:rPr>
        <w:t xml:space="preserve">Underneath, in-store sales collapsed from sixteen a week to three while online climbed from fourteen to twenty-two. Customers migrated and the stock allocation didn't follow them. No amount of looking at the combined figure would surface this. It's visible only because the two channels are sensed separately — which is the whole argument for splitting them.</w:t>
      </w:r>
    </w:p>
    <w:p>
      <w:pPr>
        <w:pBdr>
          <w:left w:val="single" w:color="5C8A3C" w:sz="18" w:space="10"/>
        </w:pBdr>
        <w:shd w:fill="F1F5EE" w:val="clear"/>
        <w:spacing w:after="140" w:before="200"/>
        <w:ind w:left="120"/>
      </w:pPr>
      <w:r>
        <w:rPr>
          <w:b/>
          <w:bCs/>
          <w:color w:val="2C5F2D"/>
          <w:sz w:val="21"/>
          <w:szCs w:val="21"/>
        </w:rPr>
        <w:t xml:space="preserve">Select  ACC-9981</w:t>
      </w:r>
    </w:p>
    <w:p>
      <w:pPr>
        <w:spacing w:after="200" w:line="380"/>
        <w:ind w:left="260"/>
      </w:pPr>
      <w:r>
        <w:rPr>
          <w:b/>
          <w:bCs/>
          <w:color w:val="2C5F2D"/>
          <w:sz w:val="26"/>
          <w:szCs w:val="26"/>
        </w:rPr>
        <w:t xml:space="preserve">The buckle nobody notices. </w:t>
      </w:r>
      <w:r>
        <w:rPr>
          <w:color w:val="1F1F1B"/>
          <w:sz w:val="26"/>
          <w:szCs w:val="26"/>
        </w:rPr>
        <w:t xml:space="preserve">Sold in three of the last twelve weeks. A standard formula still produces a number here, but the number is meaningless — an average of almost nothing is still almost nothing.</w:t>
      </w:r>
    </w:p>
    <w:p>
      <w:pPr>
        <w:spacing w:after="200" w:line="380"/>
        <w:ind w:left="260"/>
      </w:pPr>
      <w:r>
        <w:rPr>
          <w:color w:val="1F1F1B"/>
          <w:sz w:val="26"/>
          <w:szCs w:val="26"/>
        </w:rPr>
        <w:t xml:space="preserve">So the agent says so. It flags insufficient history, drops confidence to 40%, and checks what's already on the shelf: three units covers the 0.6 units of demand expected over the lead time. It recommends ordering nothing at all, and flags it for a planner to confirm.</w:t>
      </w:r>
    </w:p>
    <w:p>
      <w:pPr>
        <w:pBdr>
          <w:bottom w:val="single" w:color="D9DED3" w:sz="6" w:space="6"/>
        </w:pBdr>
        <w:spacing w:after="200" w:before="420"/>
      </w:pPr>
      <w:r>
        <w:rPr>
          <w:rFonts w:ascii="Cambria" w:cs="Cambria" w:eastAsia="Cambria" w:hAnsi="Cambria"/>
          <w:b/>
          <w:bCs/>
          <w:color w:val="2C5F2D"/>
          <w:sz w:val="30"/>
          <w:szCs w:val="30"/>
        </w:rPr>
        <w:t xml:space="preserve">Section 3 — Trust and control</w:t>
      </w:r>
      <w:r>
        <w:rPr>
          <w:rFonts w:ascii="Cambria" w:cs="Cambria" w:eastAsia="Cambria" w:hAnsi="Cambria"/>
          <w:color w:val="6E6E66"/>
          <w:sz w:val="22"/>
          <w:szCs w:val="22"/>
        </w:rPr>
        <w:t xml:space="preserve">   2:55–3:55</w:t>
      </w:r>
    </w:p>
    <w:p>
      <w:pPr>
        <w:pBdr>
          <w:left w:val="single" w:color="5C8A3C" w:sz="18" w:space="10"/>
        </w:pBdr>
        <w:shd w:fill="F1F5EE" w:val="clear"/>
        <w:spacing w:after="140" w:before="200"/>
        <w:ind w:left="120"/>
      </w:pPr>
      <w:r>
        <w:rPr>
          <w:b/>
          <w:bCs/>
          <w:color w:val="2C5F2D"/>
          <w:sz w:val="21"/>
          <w:szCs w:val="21"/>
        </w:rPr>
        <w:t xml:space="preserve">Switch to  Needs review  tab</w:t>
      </w:r>
    </w:p>
    <w:p>
      <w:pPr>
        <w:spacing w:after="200" w:line="380"/>
        <w:ind w:left="260"/>
      </w:pPr>
      <w:r>
        <w:rPr>
          <w:color w:val="1F1F1B"/>
          <w:sz w:val="26"/>
          <w:szCs w:val="26"/>
        </w:rPr>
        <w:t xml:space="preserve">This is the trust layer. Anything below the confidence threshold, or anything urgent, lands here with its full reasoning — approve as-is, edit the quantity, or reject with a stated reason.</w:t>
      </w:r>
    </w:p>
    <w:p>
      <w:pPr>
        <w:pBdr>
          <w:left w:val="single" w:color="5C8A3C" w:sz="18" w:space="10"/>
        </w:pBdr>
        <w:shd w:fill="F1F5EE" w:val="clear"/>
        <w:spacing w:after="140" w:before="200"/>
        <w:ind w:left="120"/>
      </w:pPr>
      <w:r>
        <w:rPr>
          <w:b/>
          <w:bCs/>
          <w:color w:val="2C5F2D"/>
          <w:sz w:val="21"/>
          <w:szCs w:val="21"/>
        </w:rPr>
        <w:t xml:space="preserve">Click  Approve edited  or  Reject  on one item</w:t>
      </w:r>
    </w:p>
    <w:p>
      <w:pPr>
        <w:spacing w:after="200" w:line="380"/>
        <w:ind w:left="260"/>
      </w:pPr>
      <w:r>
        <w:rPr>
          <w:color w:val="1F1F1B"/>
          <w:sz w:val="26"/>
          <w:szCs w:val="26"/>
        </w:rPr>
        <w:t xml:space="preserve">The queue is ordered by exposure — units of demand that go unserved, valued at retail. The jacket sits at the top carrying three risk tags at once. The two footwear lines below it are a supplier whose lead time doubled from port congestion, so they're short too.</w:t>
      </w:r>
    </w:p>
    <w:p>
      <w:pPr>
        <w:pBdr>
          <w:left w:val="single" w:color="5C8A3C" w:sz="18" w:space="10"/>
        </w:pBdr>
        <w:shd w:fill="F1F5EE" w:val="clear"/>
        <w:spacing w:after="140" w:before="200"/>
        <w:ind w:left="120"/>
      </w:pPr>
      <w:r>
        <w:rPr>
          <w:b/>
          <w:bCs/>
          <w:color w:val="2C5F2D"/>
          <w:sz w:val="21"/>
          <w:szCs w:val="21"/>
        </w:rPr>
        <w:t xml:space="preserve">Drag the sidebar confidence slider all the way down to 0.00</w:t>
      </w:r>
    </w:p>
    <w:p>
      <w:pPr>
        <w:spacing w:after="200" w:line="380"/>
        <w:ind w:left="260"/>
      </w:pPr>
      <w:r>
        <w:rPr>
          <w:color w:val="1F1F1B"/>
          <w:sz w:val="26"/>
          <w:szCs w:val="26"/>
        </w:rPr>
        <w:t xml:space="preserve">And here's the part I'd point at first. The threshold is a live control — but drag it to zero and the buckle stays in review. There's a hard floor at 50% the planner can't lower.</w:t>
      </w:r>
    </w:p>
    <w:p>
      <w:pPr>
        <w:spacing w:after="200" w:line="380"/>
        <w:ind w:left="260"/>
      </w:pPr>
      <w:r>
        <w:rPr>
          <w:color w:val="1F1F1B"/>
          <w:sz w:val="26"/>
          <w:szCs w:val="26"/>
        </w:rPr>
        <w:t xml:space="preserve">That item's own reasoning says it has too little history to trust a demand average. If the agent has declared something beyond its own competence, an autonomy dial shouldn't be able to wave it through. A trust layer you can instruct to trust itself completely isn't a trust layer.</w:t>
      </w:r>
    </w:p>
    <w:p>
      <w:pPr>
        <w:pBdr>
          <w:bottom w:val="single" w:color="D9DED3" w:sz="6" w:space="6"/>
        </w:pBdr>
        <w:spacing w:after="200" w:before="420"/>
      </w:pPr>
      <w:r>
        <w:rPr>
          <w:rFonts w:ascii="Cambria" w:cs="Cambria" w:eastAsia="Cambria" w:hAnsi="Cambria"/>
          <w:b/>
          <w:bCs/>
          <w:color w:val="2C5F2D"/>
          <w:sz w:val="30"/>
          <w:szCs w:val="30"/>
        </w:rPr>
        <w:t xml:space="preserve">Section 4 — Limitations and decisions</w:t>
      </w:r>
      <w:r>
        <w:rPr>
          <w:rFonts w:ascii="Cambria" w:cs="Cambria" w:eastAsia="Cambria" w:hAnsi="Cambria"/>
          <w:color w:val="6E6E66"/>
          <w:sz w:val="22"/>
          <w:szCs w:val="22"/>
        </w:rPr>
        <w:t xml:space="preserve">   3:55–5:00</w:t>
      </w:r>
    </w:p>
    <w:p>
      <w:pPr>
        <w:pBdr>
          <w:left w:val="single" w:color="5C8A3C" w:sz="18" w:space="10"/>
        </w:pBdr>
        <w:shd w:fill="F1F5EE" w:val="clear"/>
        <w:spacing w:after="140" w:before="200"/>
        <w:ind w:left="120"/>
      </w:pPr>
      <w:r>
        <w:rPr>
          <w:b/>
          <w:bCs/>
          <w:color w:val="2C5F2D"/>
          <w:sz w:val="21"/>
          <w:szCs w:val="21"/>
        </w:rPr>
        <w:t xml:space="preserve">Show  decisions_README.md  ·  scroll to Limitations</w:t>
      </w:r>
    </w:p>
    <w:p>
      <w:pPr>
        <w:spacing w:after="200" w:line="380"/>
        <w:ind w:left="260"/>
      </w:pPr>
      <w:r>
        <w:rPr>
          <w:color w:val="1F1F1B"/>
          <w:sz w:val="26"/>
          <w:szCs w:val="26"/>
        </w:rPr>
        <w:t>Twenty-three limitations are recorded, in the same detail as the fixes. The thresholds are hand-tuned against invented data. The spike measure itself saturates because the averaging windows overlap, so a product whose demand merely doubles still reads as stable.</w:t>
      </w:r>
    </w:p>
    <w:p>
      <w:pPr>
        <w:spacing w:after="200" w:line="380"/>
        <w:ind w:left="260"/>
      </w:pPr>
      <w:r>
        <w:rPr>
          <w:color w:val="1F1F1B"/>
          <w:sz w:val="26"/>
          <w:szCs w:val="26"/>
        </w:rPr>
        <w:t xml:space="preserve">The scope boundary I'd name explicitly is BOPIS and BORIS — buy online and pick up in store, and buy online and return in store. Neither was considered in the design. Pickup reserves stock before collection, so shelf stock stops being sellable stock; returns push units back at an unpredictable time and often a different store. They pull the arithmetic in opposite directions — ignoring pickup makes the system under-order, ignoring returns makes it over-order.</w:t>
      </w:r>
    </w:p>
    <w:p>
      <w:pPr>
        <w:spacing w:after="200" w:line="380"/>
        <w:ind w:left="260"/>
      </w:pPr>
      <w:r>
        <w:rPr>
          <w:color w:val="1F1F1B"/>
          <w:sz w:val="26"/>
          <w:szCs w:val="26"/>
        </w:rPr>
        <w:t xml:space="preserve">And one thing I'd call a defect rather than a decision: the urgent flag holds the purchase order, but justifies itself in fulfilment terms. For a confident recommendation that delays the very replenishment that ends the stockout. That's a routing rebuild, so it's documented as a known defect rather than quietly left to look clean.</w:t>
      </w:r>
    </w:p>
    <w:p>
      <w:pPr>
        <w:spacing w:after="100"/>
        <w:ind w:left="260"/>
      </w:pPr>
      <w:r>
        <w:rPr>
          <w:i/>
          <w:iCs/>
          <w:color w:val="A34430"/>
          <w:sz w:val="18"/>
          <w:szCs w:val="18"/>
        </w:rPr>
        <w:t xml:space="preserve">Drop this final paragraph if you need to save twenty seconds.</w:t>
      </w:r>
    </w:p>
    <w:p>
      <w:pPr>
        <w:spacing w:after="200" w:line="380"/>
        <w:ind w:left="260"/>
      </w:pPr>
      <w:r>
        <w:rPr>
          <w:color w:val="1F1F1B"/>
          <w:sz w:val="26"/>
          <w:szCs w:val="26"/>
        </w:rPr>
        <w:t xml:space="preserve">Seventeen defects were found and fixed across this build, two only visible because fixing something else exposed them. The decisions README carries the reasoning behind every call — including, for eight of them, what would make that call wrong.</w:t>
      </w:r>
    </w:p>
    <w:p>
      <w:pPr>
        <w:spacing w:after="160" w:before="340"/>
      </w:pPr>
      <w:r>
        <w:rPr>
          <w:rFonts w:ascii="Cambria" w:cs="Cambria" w:eastAsia="Cambria" w:hAnsi="Cambria"/>
          <w:b/>
          <w:bCs/>
          <w:color w:val="2C5F2D"/>
          <w:sz w:val="24"/>
          <w:szCs w:val="24"/>
        </w:rPr>
        <w:t xml:space="preserve">Why the lead-time case was dropped</w:t>
      </w:r>
    </w:p>
    <w:p>
      <w:pPr>
        <w:spacing w:after="140" w:line="280"/>
      </w:pPr>
      <w:r>
        <w:rPr>
          <w:color w:val="6E6E66"/>
          <w:sz w:val="20"/>
          <w:szCs w:val="20"/>
        </w:rPr>
        <w:t xml:space="preserve">The build has four hard cases: the demand spike, the hidden channel shift, the long-tail product, and a supplier lead time doubling from 21 to 45 days. The last is cut from this script.</w:t>
      </w:r>
    </w:p>
    <w:p>
      <w:pPr>
        <w:spacing w:after="140" w:line="280"/>
      </w:pPr>
      <w:r>
        <w:rPr>
          <w:color w:val="6E6E66"/>
          <w:sz w:val="20"/>
          <w:szCs w:val="20"/>
        </w:rPr>
        <w:t xml:space="preserve">It is the only case where the correct behaviour is what anyone would already expect — supplier takes longer, so order earlier and bigger. There is no counterintuitive turn and no moment where the naive answer is wrong. It is also the only one of the four with no defect behind it: the other three each carry a mistake that was found and corrected, which is the material that actually demonstrates engineering judgement.</w:t>
      </w:r>
    </w:p>
    <w:p>
      <w:pPr>
        <w:spacing w:after="140" w:line="280"/>
      </w:pPr>
      <w:r>
        <w:rPr>
          <w:color w:val="6E6E66"/>
          <w:sz w:val="20"/>
          <w:szCs w:val="20"/>
        </w:rPr>
        <w:t xml:space="preserve">The two footwear lines still appear in the review queue, so the script covers them in half a line rather than leaving an unexplained product on screen.</w:t>
      </w:r>
    </w:p>
    <w:p>
      <w:pPr>
        <w:spacing w:after="140" w:line="280"/>
      </w:pPr>
      <w:r>
        <w:rPr>
          <w:color w:val="6E6E66"/>
          <w:sz w:val="20"/>
          <w:szCs w:val="20"/>
        </w:rPr>
        <w:t xml:space="preserve">If you would rather record all four, video_script_full_4cases.md in the project folder is the longer version — around eight minutes at unhurried pace, with cuttable passages marked.</w:t>
      </w:r>
    </w:p>
    <w:p>
      <w:pPr>
        <w:spacing w:after="160" w:before="340"/>
      </w:pPr>
      <w:r>
        <w:rPr>
          <w:rFonts w:ascii="Cambria" w:cs="Cambria" w:eastAsia="Cambria" w:hAnsi="Cambria"/>
          <w:b/>
          <w:bCs/>
          <w:color w:val="2C5F2D"/>
          <w:sz w:val="24"/>
          <w:szCs w:val="24"/>
        </w:rPr>
        <w:t xml:space="preserve">Recording checklist</w:t>
      </w:r>
    </w:p>
    <w:p>
      <w:pPr>
        <w:spacing w:after="120" w:line="280"/>
      </w:pPr>
      <w:r>
        <w:rPr>
          <w:color w:val="1F1F1B"/>
          <w:sz w:val="21"/>
          <w:szCs w:val="21"/>
        </w:rPr>
        <w:t xml:space="preserve">☐   Both diagram-only SVGs open in browser tabs</w:t>
      </w:r>
    </w:p>
    <w:p>
      <w:pPr>
        <w:spacing w:after="120" w:line="280"/>
      </w:pPr>
      <w:r>
        <w:rPr>
          <w:color w:val="1F1F1B"/>
          <w:sz w:val="21"/>
          <w:szCs w:val="21"/>
        </w:rPr>
        <w:t xml:space="preserve">☐   App running at agentic-replenishment-cfz5mznsmvyujuc692qt9e.streamlit.app with the slider at 0.70</w:t>
      </w:r>
    </w:p>
    <w:p>
      <w:pPr>
        <w:spacing w:after="120" w:line="280"/>
      </w:pPr>
      <w:r>
        <w:rPr>
          <w:color w:val="1F1F1B"/>
          <w:sz w:val="21"/>
          <w:szCs w:val="21"/>
        </w:rPr>
        <w:t xml:space="preserve">☐   decisions_README.md open and scrolled to Limitations</w:t>
      </w:r>
    </w:p>
    <w:p>
      <w:pPr>
        <w:spacing w:after="120" w:line="280"/>
      </w:pPr>
      <w:r>
        <w:rPr>
          <w:color w:val="1F1F1B"/>
          <w:sz w:val="21"/>
          <w:szCs w:val="21"/>
        </w:rPr>
        <w:t xml:space="preserve">☐   One item ready in the review queue to click Approve or Reject on</w:t>
      </w:r>
    </w:p>
    <w:p>
      <w:pPr>
        <w:spacing w:after="120" w:line="280"/>
      </w:pPr>
      <w:r>
        <w:rPr>
          <w:color w:val="1F1F1B"/>
          <w:sz w:val="21"/>
          <w:szCs w:val="21"/>
        </w:rPr>
        <w:t xml:space="preserve">☐   Only one slider move needed: drag 0.70 straight down to 0.00, buckle stays put</w:t>
      </w:r>
    </w:p>
    <w:p>
      <w:pPr>
        <w:spacing w:after="120" w:line="280"/>
      </w:pPr>
      <w:r>
        <w:rPr>
          <w:color w:val="1F1F1B"/>
          <w:sz w:val="21"/>
          <w:szCs w:val="21"/>
        </w:rPr>
        <w:t xml:space="preserve">☐   Pre-flight the numbers. Queue reads APP-1042, FTW-3301, FTW-3302, then ACC-9981. Three items marked urgent. Jacket recommends 83 units. If any differ, the deployed app is on older code</w:t>
      </w:r>
    </w:p>
    <w:p>
      <w:pPr>
        <w:spacing w:after="120" w:line="280"/>
      </w:pPr>
      <w:r>
        <w:rPr>
          <w:color w:val="1F1F1B"/>
          <w:sz w:val="21"/>
          <w:szCs w:val="21"/>
        </w:rPr>
        <w:t xml:space="preserve">☐   Say the live URL out loud once so it is captured in the recording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2026-08-01T10:16:37.733Z</dcterms:created>
  <dcterms:modified xsi:type="dcterms:W3CDTF">2026-08-01T10:16:37.733Z</dcterms:modified>
</cp:coreProperties>
</file>

<file path=docProps/custom.xml><?xml version="1.0" encoding="utf-8"?>
<Properties xmlns="http://schemas.openxmlformats.org/officeDocument/2006/custom-properties" xmlns:vt="http://schemas.openxmlformats.org/officeDocument/2006/docPropsVTypes"/>
</file>