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Agentic Replenishment Prototype</w:t>
      </w:r>
    </w:p>
    <w:p>
      <w:pPr>
        <w:spacing w:after="200"/>
      </w:pPr>
      <w:r>
        <w:rPr>
          <w:color w:val="444444"/>
          <w:sz w:val="26"/>
          <w:szCs w:val="26"/>
        </w:rPr>
        <w:t xml:space="preserve">Change Log: Defects, Fixes, Upgrades and Documentation Corrections</w:t>
      </w:r>
    </w:p>
    <w:p>
      <w:pPr>
        <w:spacing w:after="300"/>
      </w:pPr>
      <w:r>
        <w:rPr>
          <w:i/>
          <w:iCs/>
          <w:color w:val="666666"/>
          <w:sz w:val="19"/>
          <w:szCs w:val="19"/>
        </w:rPr>
        <w:t xml:space="preserve">Live app: https://agentic-replenishment-cfz5mznsmvyujuc692qt9e.streamlit.app/</w:t>
      </w:r>
    </w:p>
    <w:p>
      <w:pPr>
        <w:pStyle w:val="Heading1"/>
        <w:spacing w:after="160" w:before="360"/>
      </w:pPr>
      <w:r>
        <w:t xml:space="preserve">Purpose and how to read this</w:t>
      </w:r>
    </w:p>
    <w:p>
      <w:pPr>
        <w:spacing w:after="120"/>
      </w:pPr>
      <w:r>
        <w:rPr>
          <w:sz w:val="21"/>
          <w:szCs w:val="21"/>
        </w:rPr>
        <w:t xml:space="preserve">This document records everything that changed in the prototype between the first working build and the current version: defects found and corrected, capabilities added, documentation errors fixed, and issues that were deliberately documented rather than repaired.</w:t>
      </w:r>
    </w:p>
    <w:p>
      <w:pPr>
        <w:spacing w:after="120"/>
      </w:pPr>
      <w:r>
        <w:rPr>
          <w:sz w:val="21"/>
          <w:szCs w:val="21"/>
        </w:rPr>
        <w:t xml:space="preserve">Each entry states what was wrong, why it mattered, what changed, and — where a number is quoted — the evidence it came from. Every quantitative claim below was produced by running the engine against the project dataset, not estimated.</w:t>
      </w:r>
    </w:p>
    <w:p>
      <w:pPr>
        <w:spacing w:after="120"/>
      </w:pPr>
      <w:r>
        <w:rPr>
          <w:sz w:val="21"/>
          <w:szCs w:val="21"/>
        </w:rPr>
        <w:t xml:space="preserve">Two categories are included that a change log often omits. Section D records mistakes made during the build process itself, including several of mine. Section E records known defects that remain in the delivered system. Both are included because a change log that lists only successes is not a useful record of what happened.</w:t>
      </w:r>
    </w:p>
    <w:p>
      <w:pPr>
        <w:pStyle w:val="Heading1"/>
        <w:spacing w:after="160" w:before="360"/>
      </w:pPr>
      <w:r>
        <w:t xml:space="preserve">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4900"/>
      </w:tblGrid>
      <w:tr>
        <w:trPr>
          <w:tblHeader/>
        </w:trPr>
        <w:tc>
          <w:tcPr>
            <w:tcW w:type="dxa" w:w="3000"/>
            <w:shd w:fill="1F4E79" w:val="clear"/>
            <w:tcMar>
              <w:top w:type="dxa" w:w="80"/>
              <w:left w:type="dxa" w:w="110"/>
              <w:bottom w:type="dxa" w:w="80"/>
              <w:right w:type="dxa" w:w="110"/>
            </w:tcMar>
          </w:tcPr>
          <w:p>
            <w:r>
              <w:rPr>
                <w:b/>
                <w:bCs/>
                <w:color w:val="FFFFFF"/>
                <w:sz w:val="20"/>
                <w:szCs w:val="20"/>
              </w:rPr>
              <w:t xml:space="preserve">Category</w:t>
            </w:r>
          </w:p>
        </w:tc>
        <w:tc>
          <w:tcPr>
            <w:tcW w:type="dxa" w:w="1100"/>
            <w:shd w:fill="1F4E79" w:val="clear"/>
            <w:tcMar>
              <w:top w:type="dxa" w:w="80"/>
              <w:left w:type="dxa" w:w="110"/>
              <w:bottom w:type="dxa" w:w="80"/>
              <w:right w:type="dxa" w:w="110"/>
            </w:tcMar>
          </w:tcPr>
          <w:p>
            <w:r>
              <w:rPr>
                <w:b/>
                <w:bCs/>
                <w:color w:val="FFFFFF"/>
                <w:sz w:val="20"/>
                <w:szCs w:val="20"/>
              </w:rPr>
              <w:t xml:space="preserve">Count</w:t>
            </w:r>
          </w:p>
        </w:tc>
        <w:tc>
          <w:tcPr>
            <w:tcW w:type="dxa" w:w="4900"/>
            <w:shd w:fill="1F4E79" w:val="clear"/>
            <w:tcMar>
              <w:top w:type="dxa" w:w="80"/>
              <w:left w:type="dxa" w:w="110"/>
              <w:bottom w:type="dxa" w:w="80"/>
              <w:right w:type="dxa" w:w="110"/>
            </w:tcMar>
          </w:tcPr>
          <w:p>
            <w:r>
              <w:rPr>
                <w:b/>
                <w:bCs/>
                <w:color w:val="FFFFFF"/>
                <w:sz w:val="20"/>
                <w:szCs w:val="20"/>
              </w:rPr>
              <w:t xml:space="preserve">Notes</w:t>
            </w:r>
          </w:p>
        </w:tc>
      </w:tr>
      <w:tr>
        <w:tc>
          <w:tcPr>
            <w:tcW w:type="dxa" w:w="3000"/>
            <w:tcMar>
              <w:top w:type="dxa" w:w="80"/>
              <w:left w:type="dxa" w:w="110"/>
              <w:bottom w:type="dxa" w:w="80"/>
              <w:right w:type="dxa" w:w="110"/>
            </w:tcMar>
          </w:tcPr>
          <w:p>
            <w:r>
              <w:rPr>
                <w:sz w:val="20"/>
                <w:szCs w:val="20"/>
              </w:rPr>
              <w:t xml:space="preserve">Functional defects found and fixed</w:t>
            </w:r>
          </w:p>
        </w:tc>
        <w:tc>
          <w:tcPr>
            <w:tcW w:type="dxa" w:w="1100"/>
            <w:tcMar>
              <w:top w:type="dxa" w:w="80"/>
              <w:left w:type="dxa" w:w="110"/>
              <w:bottom w:type="dxa" w:w="80"/>
              <w:right w:type="dxa" w:w="110"/>
            </w:tcMar>
          </w:tcPr>
          <w:p>
            <w:r>
              <w:rPr>
                <w:sz w:val="20"/>
                <w:szCs w:val="20"/>
              </w:rPr>
              <w:t xml:space="preserve">17</w:t>
            </w:r>
          </w:p>
        </w:tc>
        <w:tc>
          <w:tcPr>
            <w:tcW w:type="dxa" w:w="4900"/>
            <w:tcMar>
              <w:top w:type="dxa" w:w="80"/>
              <w:left w:type="dxa" w:w="110"/>
              <w:bottom w:type="dxa" w:w="80"/>
              <w:right w:type="dxa" w:w="110"/>
            </w:tcMar>
          </w:tcPr>
          <w:p>
            <w:r>
              <w:rPr>
                <w:sz w:val="20"/>
                <w:szCs w:val="20"/>
              </w:rPr>
              <w:t xml:space="preserve">Includes two that materially changed recommended order quantities</w:t>
            </w:r>
          </w:p>
        </w:tc>
      </w:tr>
      <w:tr>
        <w:tc>
          <w:tcPr>
            <w:tcW w:type="dxa" w:w="3000"/>
            <w:shd w:fill="F2F2F2" w:val="clear"/>
            <w:tcMar>
              <w:top w:type="dxa" w:w="80"/>
              <w:left w:type="dxa" w:w="110"/>
              <w:bottom w:type="dxa" w:w="80"/>
              <w:right w:type="dxa" w:w="110"/>
            </w:tcMar>
          </w:tcPr>
          <w:p>
            <w:r>
              <w:rPr>
                <w:sz w:val="20"/>
                <w:szCs w:val="20"/>
              </w:rPr>
              <w:t xml:space="preserve">Capabilities added</w:t>
            </w:r>
          </w:p>
        </w:tc>
        <w:tc>
          <w:tcPr>
            <w:tcW w:type="dxa" w:w="1100"/>
            <w:shd w:fill="F2F2F2" w:val="clear"/>
            <w:tcMar>
              <w:top w:type="dxa" w:w="80"/>
              <w:left w:type="dxa" w:w="110"/>
              <w:bottom w:type="dxa" w:w="80"/>
              <w:right w:type="dxa" w:w="110"/>
            </w:tcMar>
          </w:tcPr>
          <w:p>
            <w:r>
              <w:rPr>
                <w:sz w:val="20"/>
                <w:szCs w:val="20"/>
              </w:rPr>
              <w:t xml:space="preserve">10</w:t>
            </w:r>
          </w:p>
        </w:tc>
        <w:tc>
          <w:tcPr>
            <w:tcW w:type="dxa" w:w="4900"/>
            <w:shd w:fill="F2F2F2" w:val="clear"/>
            <w:tcMar>
              <w:top w:type="dxa" w:w="80"/>
              <w:left w:type="dxa" w:w="110"/>
              <w:bottom w:type="dxa" w:w="80"/>
              <w:right w:type="dxa" w:w="110"/>
            </w:tcMar>
          </w:tcPr>
          <w:p>
            <w:r>
              <w:rPr>
                <w:sz w:val="20"/>
                <w:szCs w:val="20"/>
              </w:rPr>
              <w:t xml:space="preserve">Largest is the omnichannel extension and its fourth edge case</w:t>
            </w:r>
          </w:p>
        </w:tc>
      </w:tr>
      <w:tr>
        <w:tc>
          <w:tcPr>
            <w:tcW w:type="dxa" w:w="3000"/>
            <w:tcMar>
              <w:top w:type="dxa" w:w="80"/>
              <w:left w:type="dxa" w:w="110"/>
              <w:bottom w:type="dxa" w:w="80"/>
              <w:right w:type="dxa" w:w="110"/>
            </w:tcMar>
          </w:tcPr>
          <w:p>
            <w:r>
              <w:rPr>
                <w:sz w:val="20"/>
                <w:szCs w:val="20"/>
              </w:rPr>
              <w:t xml:space="preserve">Documentation errors corrected</w:t>
            </w:r>
          </w:p>
        </w:tc>
        <w:tc>
          <w:tcPr>
            <w:tcW w:type="dxa" w:w="1100"/>
            <w:tcMar>
              <w:top w:type="dxa" w:w="80"/>
              <w:left w:type="dxa" w:w="110"/>
              <w:bottom w:type="dxa" w:w="80"/>
              <w:right w:type="dxa" w:w="110"/>
            </w:tcMar>
          </w:tcPr>
          <w:p>
            <w:r>
              <w:rPr>
                <w:sz w:val="20"/>
                <w:szCs w:val="20"/>
              </w:rPr>
              <w:t xml:space="preserve">10</w:t>
            </w:r>
          </w:p>
        </w:tc>
        <w:tc>
          <w:tcPr>
            <w:tcW w:type="dxa" w:w="4900"/>
            <w:tcMar>
              <w:top w:type="dxa" w:w="80"/>
              <w:left w:type="dxa" w:w="110"/>
              <w:bottom w:type="dxa" w:w="80"/>
              <w:right w:type="dxa" w:w="110"/>
            </w:tcMar>
          </w:tcPr>
          <w:p>
            <w:r>
              <w:rPr>
                <w:sz w:val="20"/>
                <w:szCs w:val="20"/>
              </w:rPr>
              <w:t xml:space="preserve">Includes one factual error and one internal contradiction</w:t>
            </w:r>
          </w:p>
        </w:tc>
      </w:tr>
      <w:tr>
        <w:tc>
          <w:tcPr>
            <w:tcW w:type="dxa" w:w="3000"/>
            <w:shd w:fill="F2F2F2" w:val="clear"/>
            <w:tcMar>
              <w:top w:type="dxa" w:w="80"/>
              <w:left w:type="dxa" w:w="110"/>
              <w:bottom w:type="dxa" w:w="80"/>
              <w:right w:type="dxa" w:w="110"/>
            </w:tcMar>
          </w:tcPr>
          <w:p>
            <w:r>
              <w:rPr>
                <w:sz w:val="20"/>
                <w:szCs w:val="20"/>
              </w:rPr>
              <w:t xml:space="preserve">Build-process issues</w:t>
            </w:r>
          </w:p>
        </w:tc>
        <w:tc>
          <w:tcPr>
            <w:tcW w:type="dxa" w:w="1100"/>
            <w:shd w:fill="F2F2F2" w:val="clear"/>
            <w:tcMar>
              <w:top w:type="dxa" w:w="80"/>
              <w:left w:type="dxa" w:w="110"/>
              <w:bottom w:type="dxa" w:w="80"/>
              <w:right w:type="dxa" w:w="110"/>
            </w:tcMar>
          </w:tcPr>
          <w:p>
            <w:r>
              <w:rPr>
                <w:sz w:val="20"/>
                <w:szCs w:val="20"/>
              </w:rPr>
              <w:t xml:space="preserve">6</w:t>
            </w:r>
          </w:p>
        </w:tc>
        <w:tc>
          <w:tcPr>
            <w:tcW w:type="dxa" w:w="4900"/>
            <w:shd w:fill="F2F2F2" w:val="clear"/>
            <w:tcMar>
              <w:top w:type="dxa" w:w="80"/>
              <w:left w:type="dxa" w:w="110"/>
              <w:bottom w:type="dxa" w:w="80"/>
              <w:right w:type="dxa" w:w="110"/>
            </w:tcMar>
          </w:tcPr>
          <w:p>
            <w:r>
              <w:rPr>
                <w:sz w:val="20"/>
                <w:szCs w:val="20"/>
              </w:rPr>
              <w:t xml:space="preserve">Errors made while editing, plus one environment constraint</w:t>
            </w:r>
          </w:p>
        </w:tc>
      </w:tr>
      <w:tr>
        <w:tc>
          <w:tcPr>
            <w:tcW w:type="dxa" w:w="3000"/>
            <w:tcMar>
              <w:top w:type="dxa" w:w="80"/>
              <w:left w:type="dxa" w:w="110"/>
              <w:bottom w:type="dxa" w:w="80"/>
              <w:right w:type="dxa" w:w="110"/>
            </w:tcMar>
          </w:tcPr>
          <w:p>
            <w:r>
              <w:rPr>
                <w:sz w:val="20"/>
                <w:szCs w:val="20"/>
              </w:rPr>
              <w:t xml:space="preserve">Known issues documented, not fixed</w:t>
            </w:r>
          </w:p>
        </w:tc>
        <w:tc>
          <w:tcPr>
            <w:tcW w:type="dxa" w:w="1100"/>
            <w:tcMar>
              <w:top w:type="dxa" w:w="80"/>
              <w:left w:type="dxa" w:w="110"/>
              <w:bottom w:type="dxa" w:w="80"/>
              <w:right w:type="dxa" w:w="110"/>
            </w:tcMar>
          </w:tcPr>
          <w:p>
            <w:r>
              <w:rPr>
                <w:sz w:val="20"/>
                <w:szCs w:val="20"/>
              </w:rPr>
              <w:t xml:space="preserve">14</w:t>
            </w:r>
          </w:p>
        </w:tc>
        <w:tc>
          <w:tcPr>
            <w:tcW w:type="dxa" w:w="4900"/>
            <w:tcMar>
              <w:top w:type="dxa" w:w="80"/>
              <w:left w:type="dxa" w:w="110"/>
              <w:bottom w:type="dxa" w:w="80"/>
              <w:right w:type="dxa" w:w="110"/>
            </w:tcMar>
          </w:tcPr>
          <w:p>
            <w:r>
              <w:rPr>
                <w:sz w:val="20"/>
                <w:szCs w:val="20"/>
              </w:rPr>
              <w:t xml:space="preserve">Recorded in the decisions README Limitations section</w:t>
            </w:r>
          </w:p>
        </w:tc>
      </w:tr>
    </w:tbl>
    <w:p>
      <w:pPr>
        <w:pStyle w:val="Heading1"/>
        <w:spacing w:after="160" w:before="360"/>
      </w:pPr>
      <w:r>
        <w:t xml:space="preserve">A. Functional defects found and fixed</w:t>
      </w:r>
    </w:p>
    <w:p>
      <w:pPr>
        <w:pStyle w:val="Heading3"/>
        <w:spacing w:after="100" w:before="220"/>
      </w:pPr>
      <w:r>
        <w:t xml:space="preserve">A1. Demand spike placed outside the observation window</w:t>
      </w:r>
    </w:p>
    <w:p>
      <w:pPr>
        <w:spacing w:after="100"/>
      </w:pPr>
      <w:r>
        <w:rPr>
          <w:b/>
          <w:bCs/>
          <w:sz w:val="21"/>
          <w:szCs w:val="21"/>
        </w:rPr>
        <w:t xml:space="preserve">What was wrong:  </w:t>
      </w:r>
      <w:r>
        <w:rPr>
          <w:sz w:val="21"/>
          <w:szCs w:val="21"/>
        </w:rPr>
        <w:t xml:space="preserve">The synthetic demand spike was generated in weeks 20–22, but the inventory snapshot represents week 26. By then the spike had already passed out of the trailing four-week window.</w:t>
      </w:r>
    </w:p>
    <w:p>
      <w:pPr>
        <w:spacing w:after="100"/>
      </w:pPr>
      <w:r>
        <w:rPr>
          <w:b/>
          <w:bCs/>
          <w:sz w:val="21"/>
          <w:szCs w:val="21"/>
        </w:rPr>
        <w:t xml:space="preserve">Why it mattered:  </w:t>
      </w:r>
      <w:r>
        <w:rPr>
          <w:sz w:val="21"/>
          <w:szCs w:val="21"/>
        </w:rPr>
        <w:t xml:space="preserve">The detector was being tested against a receding spike rather than a live one. It read the situation as a lull, which is the opposite of the scenario the edge case was meant to demonstrate.</w:t>
      </w:r>
    </w:p>
    <w:p>
      <w:pPr>
        <w:spacing w:after="100"/>
      </w:pPr>
      <w:r>
        <w:rPr>
          <w:b/>
          <w:bCs/>
          <w:sz w:val="21"/>
          <w:szCs w:val="21"/>
        </w:rPr>
        <w:t xml:space="preserve">What changed:  </w:t>
      </w:r>
      <w:r>
        <w:rPr>
          <w:sz w:val="21"/>
          <w:szCs w:val="21"/>
        </w:rPr>
        <w:t xml:space="preserve">Moved the spike to weeks 24–26 so it is still in progress at the snapshot date.</w:t>
      </w:r>
    </w:p>
    <w:p>
      <w:pPr>
        <w:spacing w:after="100"/>
      </w:pPr>
      <w:r>
        <w:rPr>
          <w:b/>
          <w:bCs/>
          <w:sz w:val="21"/>
          <w:szCs w:val="21"/>
        </w:rPr>
        <w:t xml:space="preserve">Evidence:  </w:t>
      </w:r>
      <w:r>
        <w:rPr>
          <w:sz w:val="21"/>
          <w:szCs w:val="21"/>
        </w:rPr>
        <w:t xml:space="preserve">Found by inspecting pipeline output during the first end-to-end run, not by reading the code.</w:t>
      </w:r>
    </w:p>
    <w:p>
      <w:pPr>
        <w:pStyle w:val="Heading3"/>
        <w:spacing w:after="100" w:before="220"/>
      </w:pPr>
      <w:r>
        <w:t xml:space="preserve">A2. Spike threshold set above the signal it was meant to catch</w:t>
      </w:r>
    </w:p>
    <w:p>
      <w:pPr>
        <w:spacing w:after="100"/>
      </w:pPr>
      <w:r>
        <w:rPr>
          <w:b/>
          <w:bCs/>
          <w:sz w:val="21"/>
          <w:szCs w:val="21"/>
        </w:rPr>
        <w:t xml:space="preserve">What was wrong:  </w:t>
      </w:r>
      <w:r>
        <w:rPr>
          <w:sz w:val="21"/>
          <w:szCs w:val="21"/>
        </w:rPr>
        <w:t xml:space="preserve">SPIKE_RATIO_THRESHOLD was 1.6 while the observed ratio for the spike SKU was 1.54, so the spike tag never fired.</w:t>
      </w:r>
    </w:p>
    <w:p>
      <w:pPr>
        <w:spacing w:after="100"/>
      </w:pPr>
      <w:r>
        <w:rPr>
          <w:b/>
          <w:bCs/>
          <w:sz w:val="21"/>
          <w:szCs w:val="21"/>
        </w:rPr>
        <w:t xml:space="preserve">Why it mattered:  </w:t>
      </w:r>
      <w:r>
        <w:rPr>
          <w:sz w:val="21"/>
          <w:szCs w:val="21"/>
        </w:rPr>
        <w:t xml:space="preserve">The headline edge case silently failed to trigger. Nothing in the output indicated a problem — the SKU simply appeared normal.</w:t>
      </w:r>
    </w:p>
    <w:p>
      <w:pPr>
        <w:spacing w:after="100"/>
      </w:pPr>
      <w:r>
        <w:rPr>
          <w:b/>
          <w:bCs/>
          <w:sz w:val="21"/>
          <w:szCs w:val="21"/>
        </w:rPr>
        <w:t xml:space="preserve">What changed:  </w:t>
      </w:r>
      <w:r>
        <w:rPr>
          <w:sz w:val="21"/>
          <w:szCs w:val="21"/>
        </w:rPr>
        <w:t xml:space="preserve">Lowered the threshold to 1.4, on the reasoning that a sustained 40% deviation from baseline is already a meaningful anomaly.</w:t>
      </w:r>
    </w:p>
    <w:p>
      <w:pPr>
        <w:pStyle w:val="Heading3"/>
        <w:spacing w:after="100" w:before="220"/>
      </w:pPr>
      <w:r>
        <w:t xml:space="preserve">A3. Spike correction used a baseline that was itself inflated</w:t>
      </w:r>
    </w:p>
    <w:p>
      <w:pPr>
        <w:spacing w:after="100"/>
      </w:pPr>
      <w:r>
        <w:rPr>
          <w:b/>
          <w:bCs/>
          <w:sz w:val="21"/>
          <w:szCs w:val="21"/>
        </w:rPr>
        <w:t xml:space="preserve">What was wrong:  </w:t>
      </w:r>
      <w:r>
        <w:rPr>
          <w:sz w:val="21"/>
          <w:szCs w:val="21"/>
        </w:rPr>
        <w:t xml:space="preserve">On detecting a spike the system fell back to the trailing eight-week average as a 'corrected' baseline. All three spike weeks sit inside that eight-week window.</w:t>
      </w:r>
    </w:p>
    <w:p>
      <w:pPr>
        <w:spacing w:after="100"/>
      </w:pPr>
      <w:r>
        <w:rPr>
          <w:b/>
          <w:bCs/>
          <w:sz w:val="21"/>
          <w:szCs w:val="21"/>
        </w:rPr>
        <w:t xml:space="preserve">Why it mattered:  </w:t>
      </w:r>
      <w:r>
        <w:rPr>
          <w:sz w:val="21"/>
          <w:szCs w:val="21"/>
        </w:rPr>
        <w:t xml:space="preserve">This is the most serious defect found. The true pre-spike baseline was 42 units per week; the eight-week average was 94.6 — inflated by a factor of 2.25. The system was over-ordering by more than double while its reasoning string told the planner it had corrected for the spike. A planner checking the arithmetic by hand would have caught it, which undermines the build's central claim of auditability.</w:t>
      </w:r>
    </w:p>
    <w:p>
      <w:pPr>
        <w:spacing w:after="100"/>
      </w:pPr>
      <w:r>
        <w:rPr>
          <w:b/>
          <w:bCs/>
          <w:sz w:val="21"/>
          <w:szCs w:val="21"/>
        </w:rPr>
        <w:t xml:space="preserve">What changed:  </w:t>
      </w:r>
      <w:r>
        <w:rPr>
          <w:sz w:val="21"/>
          <w:szCs w:val="21"/>
        </w:rPr>
        <w:t xml:space="preserve">Introduced a clean baseline: the trailing twelve weeks with promotion- and press-flagged weeks excluded outright. The reasoning string now also discloses that the eight-week figure is not a clean baseline.</w:t>
      </w:r>
    </w:p>
    <w:p>
      <w:pPr>
        <w:spacing w:after="100"/>
      </w:pPr>
      <w:r>
        <w:rPr>
          <w:b/>
          <w:bCs/>
          <w:sz w:val="21"/>
          <w:szCs w:val="21"/>
        </w:rPr>
        <w:t xml:space="preserve">Evidence:  </w:t>
      </w:r>
      <w:r>
        <w:rPr>
          <w:sz w:val="21"/>
          <w:szCs w:val="21"/>
        </w:rPr>
        <w:t xml:space="preserve">Clean baseline resolves to 42.0 units/week against a 148.8 four-week average. Recommended quantity for the spike SKU settled at 83 units.</w:t>
      </w:r>
    </w:p>
    <w:p>
      <w:pPr>
        <w:pStyle w:val="Heading3"/>
        <w:spacing w:after="100" w:before="220"/>
      </w:pPr>
      <w:r>
        <w:t xml:space="preserve">A4. Long-tail reorder ignored stock already on hand</w:t>
      </w:r>
    </w:p>
    <w:p>
      <w:pPr>
        <w:spacing w:after="100"/>
      </w:pPr>
      <w:r>
        <w:rPr>
          <w:b/>
          <w:bCs/>
          <w:sz w:val="21"/>
          <w:szCs w:val="21"/>
        </w:rPr>
        <w:t xml:space="preserve">What was wrong:  </w:t>
      </w:r>
      <w:r>
        <w:rPr>
          <w:sz w:val="21"/>
          <w:szCs w:val="21"/>
        </w:rPr>
        <w:t xml:space="preserve">The sparse-history branch computed a reorder quantity as demand × lead time without subtracting existing inventory.</w:t>
      </w:r>
    </w:p>
    <w:p>
      <w:pPr>
        <w:spacing w:after="100"/>
      </w:pPr>
      <w:r>
        <w:rPr>
          <w:b/>
          <w:bCs/>
          <w:sz w:val="21"/>
          <w:szCs w:val="21"/>
        </w:rPr>
        <w:t xml:space="preserve">Why it mattered:  </w:t>
      </w:r>
      <w:r>
        <w:rPr>
          <w:sz w:val="21"/>
          <w:szCs w:val="21"/>
        </w:rPr>
        <w:t xml:space="preserve">A SKU holding seven units against roughly one unit per week of demand — about seven weeks of cover — was told to order three more. The branch was described in comments as 'minimal and conservative'; it was neither.</w:t>
      </w:r>
    </w:p>
    <w:p>
      <w:pPr>
        <w:spacing w:after="100"/>
      </w:pPr>
      <w:r>
        <w:rPr>
          <w:b/>
          <w:bCs/>
          <w:sz w:val="21"/>
          <w:szCs w:val="21"/>
        </w:rPr>
        <w:t xml:space="preserve">What changed:  </w:t>
      </w:r>
      <w:r>
        <w:rPr>
          <w:sz w:val="21"/>
          <w:szCs w:val="21"/>
        </w:rPr>
        <w:t xml:space="preserve">Netted off on-hand stock, and added an explicit 'no reorder needed' message for the case where existing cover is sufficient.</w:t>
      </w:r>
    </w:p>
    <w:p>
      <w:pPr>
        <w:spacing w:after="100"/>
      </w:pPr>
      <w:r>
        <w:rPr>
          <w:b/>
          <w:bCs/>
          <w:sz w:val="21"/>
          <w:szCs w:val="21"/>
        </w:rPr>
        <w:t xml:space="preserve">Evidence:  </w:t>
      </w:r>
      <w:r>
        <w:rPr>
          <w:sz w:val="21"/>
          <w:szCs w:val="21"/>
        </w:rPr>
        <w:t xml:space="preserve">ACC-9981 moved from a positive recommendation to zero, with the reasoning explaining that 3 units on hand already covers 0.6 units of lead-time demand.</w:t>
      </w:r>
    </w:p>
    <w:p>
      <w:pPr>
        <w:pStyle w:val="Heading3"/>
        <w:spacing w:after="100" w:before="220"/>
      </w:pPr>
      <w:r>
        <w:t xml:space="preserve">A5. Conservative branch used the least conservative statistic</w:t>
      </w:r>
    </w:p>
    <w:p>
      <w:pPr>
        <w:spacing w:after="100"/>
      </w:pPr>
      <w:r>
        <w:rPr>
          <w:b/>
          <w:bCs/>
          <w:sz w:val="21"/>
          <w:szCs w:val="21"/>
        </w:rPr>
        <w:t xml:space="preserve">What was wrong:  </w:t>
      </w:r>
      <w:r>
        <w:rPr>
          <w:sz w:val="21"/>
          <w:szCs w:val="21"/>
        </w:rPr>
        <w:t xml:space="preserve">The same sparse-history branch selected demand_basis using max() across the four- and eight-week averages.</w:t>
      </w:r>
    </w:p>
    <w:p>
      <w:pPr>
        <w:spacing w:after="100"/>
      </w:pPr>
      <w:r>
        <w:rPr>
          <w:b/>
          <w:bCs/>
          <w:sz w:val="21"/>
          <w:szCs w:val="21"/>
        </w:rPr>
        <w:t xml:space="preserve">Why it mattered:  </w:t>
      </w:r>
      <w:r>
        <w:rPr>
          <w:sz w:val="21"/>
          <w:szCs w:val="21"/>
        </w:rPr>
        <w:t xml:space="preserve">Taking the maximum systematically favours whichever window happens to look hottest, applied to precisely the data the system trusts least. On lumpy low-volume history a single busy week drags the estimate up.</w:t>
      </w:r>
    </w:p>
    <w:p>
      <w:pPr>
        <w:spacing w:after="100"/>
      </w:pPr>
      <w:r>
        <w:rPr>
          <w:b/>
          <w:bCs/>
          <w:sz w:val="21"/>
          <w:szCs w:val="21"/>
        </w:rPr>
        <w:t xml:space="preserve">What changed:  </w:t>
      </w:r>
      <w:r>
        <w:rPr>
          <w:sz w:val="21"/>
          <w:szCs w:val="21"/>
        </w:rPr>
        <w:t xml:space="preserve">Changed to min(), which matches the stated intent.</w:t>
      </w:r>
    </w:p>
    <w:p>
      <w:pPr>
        <w:pStyle w:val="Heading3"/>
        <w:spacing w:after="100" w:before="220"/>
      </w:pPr>
      <w:r>
        <w:t xml:space="preserve">A6. Stockout risk assessed at the wrong burn rate</w:t>
      </w:r>
    </w:p>
    <w:p>
      <w:pPr>
        <w:spacing w:after="100"/>
      </w:pPr>
      <w:r>
        <w:rPr>
          <w:b/>
          <w:bCs/>
          <w:sz w:val="21"/>
          <w:szCs w:val="21"/>
        </w:rPr>
        <w:t xml:space="preserve">What was wrong:  </w:t>
      </w:r>
      <w:r>
        <w:rPr>
          <w:sz w:val="21"/>
          <w:szCs w:val="21"/>
        </w:rPr>
        <w:t xml:space="preserve">days_of_cover divided on-hand stock by the spike-discounted eight-week average rather than the rate stock was actually depleting.</w:t>
      </w:r>
    </w:p>
    <w:p>
      <w:pPr>
        <w:spacing w:after="100"/>
      </w:pPr>
      <w:r>
        <w:rPr>
          <w:b/>
          <w:bCs/>
          <w:sz w:val="21"/>
          <w:szCs w:val="21"/>
        </w:rPr>
        <w:t xml:space="preserve">Why it mattered:  </w:t>
      </w:r>
      <w:r>
        <w:rPr>
          <w:sz w:val="21"/>
          <w:szCs w:val="21"/>
        </w:rPr>
        <w:t xml:space="preserve">Discounting a spike when sizing an order is defensible; discounting it when assessing how fast the shelf is emptying is not. The effect was to understate stockout risk exactly when it was highest. The spike SKU was shown as having 1.6 days of cover when the real figure was 1.0.</w:t>
      </w:r>
    </w:p>
    <w:p>
      <w:pPr>
        <w:spacing w:after="100"/>
      </w:pPr>
      <w:r>
        <w:rPr>
          <w:b/>
          <w:bCs/>
          <w:sz w:val="21"/>
          <w:szCs w:val="21"/>
        </w:rPr>
        <w:t xml:space="preserve">What changed:  </w:t>
      </w:r>
      <w:r>
        <w:rPr>
          <w:sz w:val="21"/>
          <w:szCs w:val="21"/>
        </w:rPr>
        <w:t xml:space="preserve">Switched to the higher of the four- and eight-week rates, with a comment recording why the two calculations legitimately differ.</w:t>
      </w:r>
    </w:p>
    <w:p>
      <w:pPr>
        <w:pStyle w:val="Heading3"/>
        <w:spacing w:after="100" w:before="220"/>
      </w:pPr>
      <w:r>
        <w:t xml:space="preserve">A7. Integer truncation in the sparse-history message</w:t>
      </w:r>
    </w:p>
    <w:p>
      <w:pPr>
        <w:spacing w:after="100"/>
      </w:pPr>
      <w:r>
        <w:rPr>
          <w:b/>
          <w:bCs/>
          <w:sz w:val="21"/>
          <w:szCs w:val="21"/>
        </w:rPr>
        <w:t xml:space="preserve">What was wrong:  </w:t>
      </w:r>
      <w:r>
        <w:rPr>
          <w:sz w:val="21"/>
          <w:szCs w:val="21"/>
        </w:rPr>
        <w:t xml:space="preserve">The message reconstructed a week count as int(nonzero_ratio × 12) after that ratio had already been rounded to two decimal places.</w:t>
      </w:r>
    </w:p>
    <w:p>
      <w:pPr>
        <w:spacing w:after="100"/>
      </w:pPr>
      <w:r>
        <w:rPr>
          <w:b/>
          <w:bCs/>
          <w:sz w:val="21"/>
          <w:szCs w:val="21"/>
        </w:rPr>
        <w:t xml:space="preserve">Why it mattered:  </w:t>
      </w:r>
      <w:r>
        <w:rPr>
          <w:sz w:val="21"/>
          <w:szCs w:val="21"/>
        </w:rPr>
        <w:t xml:space="preserve">One nonzero week would have displayed as 'sold in 0 of the last 12 weeks', and four would have displayed as three. Latent on the current random seed but wrong in principle, and it appears in text shown directly to a planner.</w:t>
      </w:r>
    </w:p>
    <w:p>
      <w:pPr>
        <w:spacing w:after="100"/>
      </w:pPr>
      <w:r>
        <w:rPr>
          <w:b/>
          <w:bCs/>
          <w:sz w:val="21"/>
          <w:szCs w:val="21"/>
        </w:rPr>
        <w:t xml:space="preserve">What changed:  </w:t>
      </w:r>
      <w:r>
        <w:rPr>
          <w:sz w:val="21"/>
          <w:szCs w:val="21"/>
        </w:rPr>
        <w:t xml:space="preserve">The raw count is now carried through from the sense stage rather than reconstructed.</w:t>
      </w:r>
    </w:p>
    <w:p>
      <w:pPr>
        <w:pStyle w:val="Heading3"/>
        <w:spacing w:after="100" w:before="220"/>
      </w:pPr>
      <w:r>
        <w:t xml:space="preserve">A8. Channel-divergence message asserted more than the rule tested</w:t>
      </w:r>
    </w:p>
    <w:p>
      <w:pPr>
        <w:spacing w:after="100"/>
      </w:pPr>
      <w:r>
        <w:rPr>
          <w:b/>
          <w:bCs/>
          <w:sz w:val="21"/>
          <w:szCs w:val="21"/>
        </w:rPr>
        <w:t xml:space="preserve">What was wrong:  </w:t>
      </w:r>
      <w:r>
        <w:rPr>
          <w:sz w:val="21"/>
          <w:szCs w:val="21"/>
        </w:rPr>
        <w:t xml:space="preserve">The condition was an OR across a trend-divergence clause and an allocation-mismatch clause, but a single message always described an allocation problem. The allocation gap was also wrapped in abs(), discarding direction.</w:t>
      </w:r>
    </w:p>
    <w:p>
      <w:pPr>
        <w:spacing w:after="100"/>
      </w:pPr>
      <w:r>
        <w:rPr>
          <w:b/>
          <w:bCs/>
          <w:sz w:val="21"/>
          <w:szCs w:val="21"/>
        </w:rPr>
        <w:t xml:space="preserve">Why it mattered:  </w:t>
      </w:r>
      <w:r>
        <w:rPr>
          <w:sz w:val="21"/>
          <w:szCs w:val="21"/>
        </w:rPr>
        <w:t xml:space="preserve">A SKU tripping only the trend clause would have received a confidently-worded claim about stock allocation that the rule never checked, and a shift toward the store channel would have been described as a shift online. For a build whose whole proposition is auditable reasoning, text that overstates what the rule proved is a serious flaw.</w:t>
      </w:r>
    </w:p>
    <w:p>
      <w:pPr>
        <w:spacing w:after="100"/>
      </w:pPr>
      <w:r>
        <w:rPr>
          <w:b/>
          <w:bCs/>
          <w:sz w:val="21"/>
          <w:szCs w:val="21"/>
        </w:rPr>
        <w:t xml:space="preserve">What changed:  </w:t>
      </w:r>
      <w:r>
        <w:rPr>
          <w:sz w:val="21"/>
          <w:szCs w:val="21"/>
        </w:rPr>
        <w:t xml:space="preserve">Split into two independently-gated messages, each describing only what its own clause tested, with direction respected.</w:t>
      </w:r>
    </w:p>
    <w:p>
      <w:pPr>
        <w:pStyle w:val="Heading3"/>
        <w:spacing w:after="100" w:before="220"/>
      </w:pPr>
      <w:r>
        <w:t xml:space="preserve">A9. Urgency flag ceased to discriminate after A6 was fixed</w:t>
      </w:r>
    </w:p>
    <w:p>
      <w:pPr>
        <w:spacing w:after="100"/>
      </w:pPr>
      <w:r>
        <w:rPr>
          <w:b/>
          <w:bCs/>
          <w:sz w:val="21"/>
          <w:szCs w:val="21"/>
        </w:rPr>
        <w:t xml:space="preserve">What was wrong:  </w:t>
      </w:r>
      <w:r>
        <w:rPr>
          <w:sz w:val="21"/>
          <w:szCs w:val="21"/>
        </w:rPr>
        <w:t xml:space="preserve">With the burn rate corrected, the test 'days of cover below lead time' fired on 8 of 15 SKUs, with shortfalls ranging from 1.2 to 27.6 days.</w:t>
      </w:r>
    </w:p>
    <w:p>
      <w:pPr>
        <w:spacing w:after="100"/>
      </w:pPr>
      <w:r>
        <w:rPr>
          <w:b/>
          <w:bCs/>
          <w:sz w:val="21"/>
          <w:szCs w:val="21"/>
        </w:rPr>
        <w:t xml:space="preserve">Why it mattered:  </w:t>
      </w:r>
      <w:r>
        <w:rPr>
          <w:sz w:val="21"/>
          <w:szCs w:val="21"/>
        </w:rPr>
        <w:t xml:space="preserve">A flag raised on more than half the catalogue is not urgency, it is noise. Correcting the burn rate made the calculation more accurate and simultaneously exposed that the threshold was too loose — the fix surfaced the design flaw.</w:t>
      </w:r>
    </w:p>
    <w:p>
      <w:pPr>
        <w:spacing w:after="100"/>
      </w:pPr>
      <w:r>
        <w:rPr>
          <w:b/>
          <w:bCs/>
          <w:sz w:val="21"/>
          <w:szCs w:val="21"/>
        </w:rPr>
        <w:t xml:space="preserve">What changed:  </w:t>
      </w:r>
      <w:r>
        <w:rPr>
          <w:sz w:val="21"/>
          <w:szCs w:val="21"/>
        </w:rPr>
        <w:t xml:space="preserve">Urgency now requires a projected gap of at least seven days with nothing on the shelf, rather than any shortfall at all. This resolved the discrimination problem but was a severity cutoff on the same axis rather than a second dimension — see A15.</w:t>
      </w:r>
    </w:p>
    <w:p>
      <w:pPr>
        <w:spacing w:after="100"/>
      </w:pPr>
      <w:r>
        <w:rPr>
          <w:b/>
          <w:bCs/>
          <w:sz w:val="21"/>
          <w:szCs w:val="21"/>
        </w:rPr>
        <w:t xml:space="preserve">Evidence:  </w:t>
      </w:r>
      <w:r>
        <w:rPr>
          <w:sz w:val="21"/>
          <w:szCs w:val="21"/>
        </w:rPr>
        <w:t xml:space="preserve">Flag now fires on 4 of 15 SKUs: the spike SKU and the three affected by the supplier disruption.</w:t>
      </w:r>
    </w:p>
    <w:p>
      <w:pPr>
        <w:pStyle w:val="Heading3"/>
        <w:spacing w:after="100" w:before="220"/>
      </w:pPr>
      <w:r>
        <w:t xml:space="preserve">A10. No check for falling demand</w:t>
      </w:r>
    </w:p>
    <w:p>
      <w:pPr>
        <w:spacing w:after="100"/>
      </w:pPr>
      <w:r>
        <w:rPr>
          <w:b/>
          <w:bCs/>
          <w:sz w:val="21"/>
          <w:szCs w:val="21"/>
        </w:rPr>
        <w:t xml:space="preserve">What was wrong:  </w:t>
      </w:r>
      <w:r>
        <w:rPr>
          <w:sz w:val="21"/>
          <w:szCs w:val="21"/>
        </w:rPr>
        <w:t xml:space="preserve">The trend test only examined whether recent demand ran above the longer average. Nothing tested the downward direction.</w:t>
      </w:r>
    </w:p>
    <w:p>
      <w:pPr>
        <w:spacing w:after="100"/>
      </w:pPr>
      <w:r>
        <w:rPr>
          <w:b/>
          <w:bCs/>
          <w:sz w:val="21"/>
          <w:szCs w:val="21"/>
        </w:rPr>
        <w:t xml:space="preserve">Why it mattered:  </w:t>
      </w:r>
      <w:r>
        <w:rPr>
          <w:sz w:val="21"/>
          <w:szCs w:val="21"/>
        </w:rPr>
        <w:t xml:space="preserve">A SKU whose demand collapsed fell through to the 'demand looks stable' branch and received 95% confidence, while the system sized orders against an eight-week average still carrying the higher pre-decline weeks. The system would have ordered into a market it was losing, and reported itself confident while doing so.</w:t>
      </w:r>
    </w:p>
    <w:p>
      <w:pPr>
        <w:spacing w:after="100"/>
      </w:pPr>
      <w:r>
        <w:rPr>
          <w:b/>
          <w:bCs/>
          <w:sz w:val="21"/>
          <w:szCs w:val="21"/>
        </w:rPr>
        <w:t xml:space="preserve">What changed:  </w:t>
      </w:r>
      <w:r>
        <w:rPr>
          <w:sz w:val="21"/>
          <w:szCs w:val="21"/>
        </w:rPr>
        <w:t xml:space="preserve">Added a symmetric decline branch that sizes against the recent window and applies the same confidence penalty as a spike.</w:t>
      </w:r>
    </w:p>
    <w:p>
      <w:pPr>
        <w:spacing w:after="100"/>
      </w:pPr>
      <w:r>
        <w:rPr>
          <w:b/>
          <w:bCs/>
          <w:sz w:val="21"/>
          <w:szCs w:val="21"/>
        </w:rPr>
        <w:t xml:space="preserve">Evidence:  </w:t>
      </w:r>
      <w:r>
        <w:rPr>
          <w:sz w:val="21"/>
          <w:szCs w:val="21"/>
        </w:rPr>
        <w:t xml:space="preserve">On a test SKU whose demand halved, the recommendation falls from 41 units to 26.</w:t>
      </w:r>
    </w:p>
    <w:p>
      <w:pPr>
        <w:pStyle w:val="Heading3"/>
        <w:spacing w:after="100" w:before="220"/>
      </w:pPr>
      <w:r>
        <w:t xml:space="preserve">A11. No floor beneath the autonomy slider</w:t>
      </w:r>
    </w:p>
    <w:p>
      <w:pPr>
        <w:spacing w:after="100"/>
      </w:pPr>
      <w:r>
        <w:rPr>
          <w:b/>
          <w:bCs/>
          <w:sz w:val="21"/>
          <w:szCs w:val="21"/>
        </w:rPr>
        <w:t xml:space="preserve">What was wrong:  </w:t>
      </w:r>
      <w:r>
        <w:rPr>
          <w:sz w:val="21"/>
          <w:szCs w:val="21"/>
        </w:rPr>
        <w:t xml:space="preserve">The confidence threshold was fully adjustable down to zero. The urgent flag was carved out as un-overridable, but nothing else was.</w:t>
      </w:r>
    </w:p>
    <w:p>
      <w:pPr>
        <w:spacing w:after="100"/>
      </w:pPr>
      <w:r>
        <w:rPr>
          <w:b/>
          <w:bCs/>
          <w:sz w:val="21"/>
          <w:szCs w:val="21"/>
        </w:rPr>
        <w:t xml:space="preserve">Why it mattered:  </w:t>
      </w:r>
      <w:r>
        <w:rPr>
          <w:sz w:val="21"/>
          <w:szCs w:val="21"/>
        </w:rPr>
        <w:t xml:space="preserve">The design asserted a principle — that the agent should not be able to wave past risks it had itself identified — and then applied it to exactly one signal. A SKU whose own reasoning read 'too little history to trust a demand average' auto-approved at a slider setting of 0.40, with no human ever seeing it. At zero, 11 of 15 SKUs auto-approved. Epistemic uncertainty is arguably the stronger case for mandatory review, not the weaker one: a stockout is something the agent computed correctly, whereas sparse history means it does not know.</w:t>
      </w:r>
    </w:p>
    <w:p>
      <w:pPr>
        <w:spacing w:after="100"/>
      </w:pPr>
      <w:r>
        <w:rPr>
          <w:b/>
          <w:bCs/>
          <w:sz w:val="21"/>
          <w:szCs w:val="21"/>
        </w:rPr>
        <w:t xml:space="preserve">What changed:  </w:t>
      </w:r>
      <w:r>
        <w:rPr>
          <w:sz w:val="21"/>
          <w:szCs w:val="21"/>
        </w:rPr>
        <w:t xml:space="preserve">Added a hard floor of 0.50, evaluated before both the urgent flag and the slider. Surfaced in the sidebar so the control does not silently mislead.</w:t>
      </w:r>
    </w:p>
    <w:p>
      <w:pPr>
        <w:spacing w:after="100"/>
      </w:pPr>
      <w:r>
        <w:rPr>
          <w:b/>
          <w:bCs/>
          <w:sz w:val="21"/>
          <w:szCs w:val="21"/>
        </w:rPr>
        <w:t xml:space="preserve">Evidence:  </w:t>
      </w:r>
      <w:r>
        <w:rPr>
          <w:sz w:val="21"/>
          <w:szCs w:val="21"/>
        </w:rPr>
        <w:t xml:space="preserve">The floor is set at 0.50 because a single uncertainty signal leaves a SKU at 0.70–0.75, so it catches genuine incompetence declarations without making the slider decorative.</w:t>
      </w:r>
    </w:p>
    <w:p>
      <w:pPr>
        <w:pStyle w:val="Heading3"/>
        <w:spacing w:after="100" w:before="220"/>
      </w:pPr>
      <w:r>
        <w:t xml:space="preserve">A12. Routing discarded the reason for escalation</w:t>
      </w:r>
    </w:p>
    <w:p>
      <w:pPr>
        <w:spacing w:after="100"/>
      </w:pPr>
      <w:r>
        <w:rPr>
          <w:b/>
          <w:bCs/>
          <w:sz w:val="21"/>
          <w:szCs w:val="21"/>
        </w:rPr>
        <w:t xml:space="preserve">What was wrong:  </w:t>
      </w:r>
      <w:r>
        <w:rPr>
          <w:sz w:val="21"/>
          <w:szCs w:val="21"/>
        </w:rPr>
        <w:t xml:space="preserve">route() returned a single string, so every escalated item was indistinguishable to any caller regardless of why it had been escalated.</w:t>
      </w:r>
    </w:p>
    <w:p>
      <w:pPr>
        <w:spacing w:after="100"/>
      </w:pPr>
      <w:r>
        <w:rPr>
          <w:b/>
          <w:bCs/>
          <w:sz w:val="21"/>
          <w:szCs w:val="21"/>
        </w:rPr>
        <w:t xml:space="preserve">Why it mattered:  </w:t>
      </w:r>
      <w:r>
        <w:rPr>
          <w:sz w:val="21"/>
          <w:szCs w:val="21"/>
        </w:rPr>
        <w:t xml:space="preserve">A SKU with three stacked risk tags at 50% confidence appeared identical to one with a single flag at 75%. Any downstream sorting or prioritisation would have been unable to tell them apart.</w:t>
      </w:r>
    </w:p>
    <w:p>
      <w:pPr>
        <w:spacing w:after="100"/>
      </w:pPr>
      <w:r>
        <w:rPr>
          <w:b/>
          <w:bCs/>
          <w:sz w:val="21"/>
          <w:szCs w:val="21"/>
        </w:rPr>
        <w:t xml:space="preserve">What changed:  </w:t>
      </w:r>
      <w:r>
        <w:rPr>
          <w:sz w:val="21"/>
          <w:szCs w:val="21"/>
        </w:rPr>
        <w:t xml:space="preserve">Added route_with_reason(), which reports which rule fired. The dashboard now shows four lanes and review cards state why each item is in front of the planner.</w:t>
      </w:r>
    </w:p>
    <w:p>
      <w:pPr>
        <w:pStyle w:val="Heading3"/>
        <w:spacing w:after="100" w:before="220"/>
      </w:pPr>
      <w:r>
        <w:t xml:space="preserve">A13. Inconsistent defensive access in routing</w:t>
      </w:r>
    </w:p>
    <w:p>
      <w:pPr>
        <w:spacing w:after="100"/>
      </w:pPr>
      <w:r>
        <w:rPr>
          <w:b/>
          <w:bCs/>
          <w:sz w:val="21"/>
          <w:szCs w:val="21"/>
        </w:rPr>
        <w:t xml:space="preserve">What was wrong:  </w:t>
      </w:r>
      <w:r>
        <w:rPr>
          <w:sz w:val="21"/>
          <w:szCs w:val="21"/>
        </w:rPr>
        <w:t xml:space="preserve">One key was read with .get() and another with direct indexing, so a draft missing the urgent flag would silently route as non-urgent while a draft missing confidence would raise.</w:t>
      </w:r>
    </w:p>
    <w:p>
      <w:pPr>
        <w:spacing w:after="100"/>
      </w:pPr>
      <w:r>
        <w:rPr>
          <w:b/>
          <w:bCs/>
          <w:sz w:val="21"/>
          <w:szCs w:val="21"/>
        </w:rPr>
        <w:t xml:space="preserve">Why it mattered:  </w:t>
      </w:r>
      <w:r>
        <w:rPr>
          <w:sz w:val="21"/>
          <w:szCs w:val="21"/>
        </w:rPr>
        <w:t xml:space="preserve">The silent path was the unsafe one — a missing risk flag would have been treated as absence of risk.</w:t>
      </w:r>
    </w:p>
    <w:p>
      <w:pPr>
        <w:spacing w:after="100"/>
      </w:pPr>
      <w:r>
        <w:rPr>
          <w:b/>
          <w:bCs/>
          <w:sz w:val="21"/>
          <w:szCs w:val="21"/>
        </w:rPr>
        <w:t xml:space="preserve">What changed:  </w:t>
      </w:r>
      <w:r>
        <w:rPr>
          <w:sz w:val="21"/>
          <w:szCs w:val="21"/>
        </w:rPr>
        <w:t xml:space="preserve">Both accesses are now explicit, with a comment recording that a missing confidence value is a programming error and should fail loudly.</w:t>
      </w:r>
    </w:p>
    <w:p>
      <w:pPr>
        <w:pStyle w:val="Heading3"/>
        <w:spacing w:after="100" w:before="220"/>
      </w:pPr>
      <w:r>
        <w:t xml:space="preserve">A15. Urgency measured shortfall in days rather than exposure</w:t>
      </w:r>
    </w:p>
    <w:p>
      <w:pPr>
        <w:spacing w:after="100"/>
      </w:pPr>
      <w:r>
        <w:rPr>
          <w:b/>
          <w:bCs/>
          <w:sz w:val="21"/>
          <w:szCs w:val="21"/>
        </w:rPr>
        <w:t xml:space="preserve">What was wrong:  </w:t>
      </w:r>
      <w:r>
        <w:rPr>
          <w:sz w:val="21"/>
          <w:szCs w:val="21"/>
        </w:rPr>
        <w:t xml:space="preserve">The urgency trigger and the reorder trigger were near-collinear. For a steady SKU, urgency fires below D x LT/7 minus D while a reorder triggers below D x LT/7 plus 0.5D — so urgency was a strict subset of 'needs reorder', offset by roughly 1.5 weeks of demand. A9's threshold change moved the band without adding a dimension.</w:t>
      </w:r>
    </w:p>
    <w:p>
      <w:pPr>
        <w:spacing w:after="100"/>
      </w:pPr>
      <w:r>
        <w:rPr>
          <w:b/>
          <w:bCs/>
          <w:sz w:val="21"/>
          <w:szCs w:val="21"/>
        </w:rPr>
        <w:t xml:space="preserve">Why it mattered:  </w:t>
      </w:r>
      <w:r>
        <w:rPr>
          <w:sz w:val="21"/>
          <w:szCs w:val="21"/>
        </w:rPr>
        <w:t xml:space="preserve">Ranking by shortfall in days put the highest-exposure SKU fourth. APP-1042 has a 13-day shortfall against the footwear SKUs' 27-day shortfall, but its burn rate is far higher, giving it the largest unserved demand in the catalogue. A planner working the queue top-to-bottom would have addressed three lower-exposure items first.</w:t>
      </w:r>
    </w:p>
    <w:p>
      <w:pPr>
        <w:spacing w:after="100"/>
      </w:pPr>
      <w:r>
        <w:rPr>
          <w:b/>
          <w:bCs/>
          <w:sz w:val="21"/>
          <w:szCs w:val="21"/>
        </w:rPr>
        <w:t xml:space="preserve">What changed:  </w:t>
      </w:r>
      <w:r>
        <w:rPr>
          <w:sz w:val="21"/>
          <w:szCs w:val="21"/>
        </w:rPr>
        <w:t xml:space="preserve">The review queue is now ordered by exposure — units of demand left unserved during the gap, valued at retail. This is built from unit price, which the reorder calculation never uses, so it contributes information rather than rescaling the same signal.</w:t>
      </w:r>
    </w:p>
    <w:p>
      <w:pPr>
        <w:spacing w:after="100"/>
      </w:pPr>
      <w:r>
        <w:rPr>
          <w:b/>
          <w:bCs/>
          <w:sz w:val="21"/>
          <w:szCs w:val="21"/>
        </w:rPr>
        <w:t xml:space="preserve">Evidence:  </w:t>
      </w:r>
      <w:r>
        <w:rPr>
          <w:sz w:val="21"/>
          <w:szCs w:val="21"/>
        </w:rPr>
        <w:t xml:space="preserve">Exposure ordering: APP-1042 26,172; FTW-3301 22,338; FTW-3302 19,945; FTW-3350 4,636. The flagged set is unchanged at 4 of 15 — only the order differs on this dataset.</w:t>
      </w:r>
    </w:p>
    <w:p>
      <w:pPr>
        <w:pStyle w:val="Heading3"/>
        <w:spacing w:after="100" w:before="220"/>
      </w:pPr>
      <w:r>
        <w:t xml:space="preserve">A16. Urgency alerts could never clear</w:t>
      </w:r>
    </w:p>
    <w:p>
      <w:pPr>
        <w:spacing w:after="100"/>
      </w:pPr>
      <w:r>
        <w:rPr>
          <w:b/>
          <w:bCs/>
          <w:sz w:val="21"/>
          <w:szCs w:val="21"/>
        </w:rPr>
        <w:t xml:space="preserve">What was wrong:  </w:t>
      </w:r>
      <w:r>
        <w:rPr>
          <w:sz w:val="21"/>
          <w:szCs w:val="21"/>
        </w:rPr>
        <w:t xml:space="preserve">The stockout calculation measured the gap between days of cover and lead time — the lead time of a hypothetical order placed today. It had no concept of stock already in transit.</w:t>
      </w:r>
    </w:p>
    <w:p>
      <w:pPr>
        <w:spacing w:after="100"/>
      </w:pPr>
      <w:r>
        <w:rPr>
          <w:b/>
          <w:bCs/>
          <w:sz w:val="21"/>
          <w:szCs w:val="21"/>
        </w:rPr>
        <w:t xml:space="preserve">Why it mattered:  </w:t>
      </w:r>
      <w:r>
        <w:rPr>
          <w:sz w:val="21"/>
          <w:szCs w:val="21"/>
        </w:rPr>
        <w:t xml:space="preserve">A SKU flagged short stayed flagged on every subsequent run until physical stock arrived, regardless of whether a planner had approved a purchase order for it the day before. The same items reappear indefinitely with no acknowledged state, which is the standard route to alert fatigue and to a queue people stop reading.</w:t>
      </w:r>
    </w:p>
    <w:p>
      <w:pPr>
        <w:spacing w:after="100"/>
      </w:pPr>
      <w:r>
        <w:rPr>
          <w:b/>
          <w:bCs/>
          <w:sz w:val="21"/>
          <w:szCs w:val="21"/>
        </w:rPr>
        <w:t xml:space="preserve">What changed:  </w:t>
      </w:r>
      <w:r>
        <w:rPr>
          <w:sz w:val="21"/>
          <w:szCs w:val="21"/>
        </w:rPr>
        <w:t xml:space="preserve">The inventory snapshot now carries open purchase orders, and the shortage horizon runs to the next actual arrival rather than a hypothetical one.</w:t>
      </w:r>
    </w:p>
    <w:p>
      <w:pPr>
        <w:spacing w:after="100"/>
      </w:pPr>
      <w:r>
        <w:rPr>
          <w:b/>
          <w:bCs/>
          <w:sz w:val="21"/>
          <w:szCs w:val="21"/>
        </w:rPr>
        <w:t xml:space="preserve">Evidence:  </w:t>
      </w:r>
      <w:r>
        <w:rPr>
          <w:sz w:val="21"/>
          <w:szCs w:val="21"/>
        </w:rPr>
        <w:t xml:space="preserve">FTW-3350 has a purchase order arriving in 12 days against 17.6 days of remaining cover, so its projected gap is zero and it correctly drops out of the urgent list. Urgent count falls from 4 of 15 to 3 of 15.</w:t>
      </w:r>
    </w:p>
    <w:p>
      <w:pPr>
        <w:pStyle w:val="Heading3"/>
        <w:spacing w:after="100" w:before="220"/>
      </w:pPr>
      <w:r>
        <w:t xml:space="preserve">A17. Reorders double-counted demand already on order</w:t>
      </w:r>
    </w:p>
    <w:p>
      <w:pPr>
        <w:spacing w:after="100"/>
      </w:pPr>
      <w:r>
        <w:rPr>
          <w:b/>
          <w:bCs/>
          <w:sz w:val="21"/>
          <w:szCs w:val="21"/>
        </w:rPr>
        <w:t xml:space="preserve">What was wrong:  </w:t>
      </w:r>
      <w:r>
        <w:rPr>
          <w:sz w:val="21"/>
          <w:szCs w:val="21"/>
        </w:rPr>
        <w:t xml:space="preserve">Recommended quantities were netted against on-hand stock only, ignoring units already on an open purchase order.</w:t>
      </w:r>
    </w:p>
    <w:p>
      <w:pPr>
        <w:spacing w:after="100"/>
      </w:pPr>
      <w:r>
        <w:rPr>
          <w:b/>
          <w:bCs/>
          <w:sz w:val="21"/>
          <w:szCs w:val="21"/>
        </w:rPr>
        <w:t xml:space="preserve">Why it mattered:  </w:t>
      </w:r>
      <w:r>
        <w:rPr>
          <w:sz w:val="21"/>
          <w:szCs w:val="21"/>
        </w:rPr>
        <w:t xml:space="preserve">The system re-ordered for demand an in-flight purchase order was already covering. This is a straightforward way to accumulate excess stock, and it compounds every cycle the order remains in transit.</w:t>
      </w:r>
    </w:p>
    <w:p>
      <w:pPr>
        <w:spacing w:after="100"/>
      </w:pPr>
      <w:r>
        <w:rPr>
          <w:b/>
          <w:bCs/>
          <w:sz w:val="21"/>
          <w:szCs w:val="21"/>
        </w:rPr>
        <w:t xml:space="preserve">What changed:  </w:t>
      </w:r>
      <w:r>
        <w:rPr>
          <w:sz w:val="21"/>
          <w:szCs w:val="21"/>
        </w:rPr>
        <w:t xml:space="preserve">Reorder quantities now net against inventory position — on hand plus on order — in both the standard and the sparse-history branches.</w:t>
      </w:r>
    </w:p>
    <w:p>
      <w:pPr>
        <w:spacing w:after="100"/>
      </w:pPr>
      <w:r>
        <w:rPr>
          <w:b/>
          <w:bCs/>
          <w:sz w:val="21"/>
          <w:szCs w:val="21"/>
        </w:rPr>
        <w:t xml:space="preserve">Evidence:  </w:t>
      </w:r>
      <w:r>
        <w:rPr>
          <w:sz w:val="21"/>
          <w:szCs w:val="21"/>
        </w:rPr>
        <w:t xml:space="preserve">Prevents a 79-unit double-order on FTW-3350, roughly 1,900 of stock at cost. On the other SKU with an open order the quantity is unchanged, because on-hand alone already exceeded the reorder point — the mechanism is correct but this dataset exercises it lightly.</w:t>
      </w:r>
    </w:p>
    <w:p>
      <w:pPr>
        <w:pStyle w:val="Heading3"/>
        <w:spacing w:after="100" w:before="220"/>
      </w:pPr>
      <w:r>
        <w:t xml:space="preserve">A14. Engine package missing from the deployed repository</w:t>
      </w:r>
    </w:p>
    <w:p>
      <w:pPr>
        <w:spacing w:after="100"/>
      </w:pPr>
      <w:r>
        <w:rPr>
          <w:b/>
          <w:bCs/>
          <w:sz w:val="21"/>
          <w:szCs w:val="21"/>
        </w:rPr>
        <w:t xml:space="preserve">What was wrong:  </w:t>
      </w:r>
      <w:r>
        <w:rPr>
          <w:sz w:val="21"/>
          <w:szCs w:val="21"/>
        </w:rPr>
        <w:t xml:space="preserve">Deployment failed with ModuleNotFoundError on the engine import.</w:t>
      </w:r>
    </w:p>
    <w:p>
      <w:pPr>
        <w:spacing w:after="100"/>
      </w:pPr>
      <w:r>
        <w:rPr>
          <w:b/>
          <w:bCs/>
          <w:sz w:val="21"/>
          <w:szCs w:val="21"/>
        </w:rPr>
        <w:t xml:space="preserve">Why it mattered:  </w:t>
      </w:r>
      <w:r>
        <w:rPr>
          <w:sz w:val="21"/>
          <w:szCs w:val="21"/>
        </w:rPr>
        <w:t xml:space="preserve">GitHub's browser-based drag-and-drop upload can flatten or skip nested folders without reporting it, so the engine directory never reached the repository.</w:t>
      </w:r>
    </w:p>
    <w:p>
      <w:pPr>
        <w:spacing w:after="100"/>
      </w:pPr>
      <w:r>
        <w:rPr>
          <w:b/>
          <w:bCs/>
          <w:sz w:val="21"/>
          <w:szCs w:val="21"/>
        </w:rPr>
        <w:t xml:space="preserve">What changed:  </w:t>
      </w:r>
      <w:r>
        <w:rPr>
          <w:sz w:val="21"/>
          <w:szCs w:val="21"/>
        </w:rPr>
        <w:t xml:space="preserve">Files re-added individually through the GitHub file creator, which preserves paths. GitHub Desktop or a git client avoids the problem entirely.</w:t>
      </w:r>
    </w:p>
    <w:p>
      <w:pPr>
        <w:pStyle w:val="Heading1"/>
        <w:spacing w:after="160" w:before="360"/>
      </w:pPr>
      <w:r>
        <w:t xml:space="preserve">B. Capabilities added</w:t>
      </w:r>
    </w:p>
    <w:p>
      <w:pPr>
        <w:pStyle w:val="Heading3"/>
        <w:spacing w:after="100" w:before="220"/>
      </w:pPr>
      <w:r>
        <w:t xml:space="preserve">B1. Omnichannel channel split</w:t>
      </w:r>
    </w:p>
    <w:p>
      <w:pPr>
        <w:spacing w:after="120"/>
      </w:pPr>
      <w:r>
        <w:rPr>
          <w:sz w:val="21"/>
          <w:szCs w:val="21"/>
        </w:rPr>
        <w:t xml:space="preserve">Sales data was regenerated with every SKU selling through both an online and an in-store channel, split at category-specific rates. The original build treated sales as a single aggregate stream despite the brief describing an omnichannel retailer.</w:t>
      </w:r>
    </w:p>
    <w:p>
      <w:pPr>
        <w:pStyle w:val="Heading3"/>
        <w:spacing w:after="100" w:before="220"/>
      </w:pPr>
      <w:r>
        <w:t xml:space="preserve">B2. Fourth edge case: a channel shift invisible in the aggregate</w:t>
      </w:r>
    </w:p>
    <w:p>
      <w:pPr>
        <w:spacing w:after="120"/>
      </w:pPr>
      <w:r>
        <w:rPr>
          <w:sz w:val="21"/>
          <w:szCs w:val="21"/>
        </w:rPr>
        <w:t xml:space="preserve">A SKU was constructed so that online demand roughly triples while store demand falls correspondingly, leaving total volume almost unchanged. An aggregate-only view sees nothing unusual — the spike ratio stays near 1.0. Only channel-level sensing detects it.</w:t>
      </w:r>
    </w:p>
    <w:p>
      <w:pPr>
        <w:pStyle w:val="Heading3"/>
        <w:spacing w:after="100" w:before="220"/>
      </w:pPr>
      <w:r>
        <w:t xml:space="preserve">B3. Channel-level signals</w:t>
      </w:r>
    </w:p>
    <w:p>
      <w:pPr>
        <w:spacing w:after="120"/>
      </w:pPr>
      <w:r>
        <w:rPr>
          <w:sz w:val="21"/>
          <w:szCs w:val="21"/>
        </w:rPr>
        <w:t xml:space="preserve">The sense stage now computes per-channel trailing averages, a channel divergence measure, the current online share of demand, and the gap between that share and the share of stock allocated to online fulfilment.</w:t>
      </w:r>
    </w:p>
    <w:p>
      <w:pPr>
        <w:pStyle w:val="Heading3"/>
        <w:spacing w:after="100" w:before="220"/>
      </w:pPr>
      <w:r>
        <w:t xml:space="preserve">B4. Stockout-risk signal with forced escalation</w:t>
      </w:r>
    </w:p>
    <w:p>
      <w:pPr>
        <w:spacing w:after="120"/>
      </w:pPr>
      <w:r>
        <w:rPr>
          <w:sz w:val="21"/>
          <w:szCs w:val="21"/>
        </w:rPr>
        <w:t xml:space="preserve">days_of_cover, compared against lead time, marks SKUs where stock runs out materially before resupply arrives. This escalates independently of the confidence score, on the reasoning that an operational timing risk is not a forecast-accuracy question.</w:t>
      </w:r>
    </w:p>
    <w:p>
      <w:pPr>
        <w:pStyle w:val="Heading3"/>
        <w:spacing w:after="100" w:before="220"/>
      </w:pPr>
      <w:r>
        <w:t xml:space="preserve">B5. Penalty for unexplained spikes</w:t>
      </w:r>
    </w:p>
    <w:p>
      <w:pPr>
        <w:spacing w:after="120"/>
      </w:pPr>
      <w:r>
        <w:rPr>
          <w:sz w:val="21"/>
          <w:szCs w:val="21"/>
        </w:rPr>
        <w:t xml:space="preserve">A spike accompanied by a flagged promotional or press event is treated as explicable. A spike with no such explanation now takes an additional confidence penalty rather than being assumed benign.</w:t>
      </w:r>
    </w:p>
    <w:p>
      <w:pPr>
        <w:pStyle w:val="Heading3"/>
        <w:spacing w:after="100" w:before="220"/>
      </w:pPr>
      <w:r>
        <w:t xml:space="preserve">B6. Interface changes</w:t>
      </w:r>
    </w:p>
    <w:p>
      <w:pPr>
        <w:pStyle w:val="ListParagraph"/>
        <w:numPr>
          <w:ilvl w:val="0"/>
          <w:numId w:val="2"/>
        </w:numPr>
        <w:spacing w:after="70"/>
      </w:pPr>
      <w:r>
        <w:rPr>
          <w:sz w:val="21"/>
          <w:szCs w:val="21"/>
        </w:rPr>
        <w:t xml:space="preserve">Four routing lanes rather than three, distinguishing the autonomy floor from urgency and from the planner's own threshold</w:t>
      </w:r>
    </w:p>
    <w:p>
      <w:pPr>
        <w:pStyle w:val="ListParagraph"/>
        <w:numPr>
          <w:ilvl w:val="0"/>
          <w:numId w:val="2"/>
        </w:numPr>
        <w:spacing w:after="70"/>
      </w:pPr>
      <w:r>
        <w:rPr>
          <w:sz w:val="21"/>
          <w:szCs w:val="21"/>
        </w:rPr>
        <w:t xml:space="preserve">The autonomy floor stated explicitly in the sidebar, with a count of items below it</w:t>
      </w:r>
    </w:p>
    <w:p>
      <w:pPr>
        <w:pStyle w:val="ListParagraph"/>
        <w:numPr>
          <w:ilvl w:val="0"/>
          <w:numId w:val="2"/>
        </w:numPr>
        <w:spacing w:after="70"/>
      </w:pPr>
      <w:r>
        <w:rPr>
          <w:sz w:val="21"/>
          <w:szCs w:val="21"/>
        </w:rPr>
        <w:t xml:space="preserve">Review cards labelled with which rule placed each item in the queue</w:t>
      </w:r>
    </w:p>
    <w:p>
      <w:pPr>
        <w:pStyle w:val="ListParagraph"/>
        <w:numPr>
          <w:ilvl w:val="0"/>
          <w:numId w:val="2"/>
        </w:numPr>
        <w:spacing w:after="70"/>
      </w:pPr>
      <w:r>
        <w:rPr>
          <w:sz w:val="21"/>
          <w:szCs w:val="21"/>
        </w:rPr>
        <w:t xml:space="preserve">Demand charts split by channel, with a caption on the channel-shift case explaining what the totals conceal</w:t>
      </w:r>
    </w:p>
    <w:p>
      <w:pPr>
        <w:pStyle w:val="Heading3"/>
        <w:spacing w:after="100" w:before="220"/>
      </w:pPr>
      <w:r>
        <w:t xml:space="preserve">B9. Exposure-based queue ordering</w:t>
      </w:r>
    </w:p>
    <w:p>
      <w:pPr>
        <w:spacing w:after="120"/>
      </w:pPr>
      <w:r>
        <w:rPr>
          <w:sz w:val="21"/>
          <w:szCs w:val="21"/>
        </w:rPr>
        <w:t xml:space="preserve">The review queue is sorted by revenue at risk rather than by SKU order or confidence, and urgent cards display the figure. The reasoning string now also states the units of demand expected to go unserved and their retail value, so a planner sees the size of the problem rather than only its existence.</w:t>
      </w:r>
    </w:p>
    <w:p>
      <w:pPr>
        <w:pStyle w:val="Heading3"/>
        <w:spacing w:after="100" w:before="220"/>
      </w:pPr>
      <w:r>
        <w:t xml:space="preserve">B10. Open purchase orders in the data model</w:t>
      </w:r>
    </w:p>
    <w:p>
      <w:pPr>
        <w:spacing w:after="120"/>
      </w:pPr>
      <w:r>
        <w:rPr>
          <w:sz w:val="21"/>
          <w:szCs w:val="21"/>
        </w:rPr>
        <w:t xml:space="preserve">The inventory snapshot now records units already on order and when they arrive. Two behaviours depend on it: shortage alerts clear once stock is genuinely on its way, and reorder quantities are netted against inventory position rather than shelf stock. The dashboard shows in-flight orders alongside each recommendation.</w:t>
      </w:r>
    </w:p>
    <w:p>
      <w:pPr>
        <w:pStyle w:val="Heading3"/>
        <w:spacing w:after="100" w:before="220"/>
      </w:pPr>
      <w:r>
        <w:t xml:space="preserve">B7. Workflow diagrams as standalone files</w:t>
      </w:r>
    </w:p>
    <w:p>
      <w:pPr>
        <w:spacing w:after="120"/>
      </w:pPr>
      <w:r>
        <w:rPr>
          <w:sz w:val="21"/>
          <w:szCs w:val="21"/>
        </w:rPr>
        <w:t xml:space="preserve">The as-is manual process and the agentic loop were exported as SVG files that open in any browser, so they can be displayed during a recorded walkthrough rather than described verbally.</w:t>
      </w:r>
    </w:p>
    <w:p>
      <w:pPr>
        <w:pStyle w:val="Heading3"/>
        <w:spacing w:after="100" w:before="220"/>
      </w:pPr>
      <w:r>
        <w:t xml:space="preserve">B8. Five-minute presentation script</w:t>
      </w:r>
    </w:p>
    <w:p>
      <w:pPr>
        <w:spacing w:after="120"/>
      </w:pPr>
      <w:r>
        <w:rPr>
          <w:sz w:val="21"/>
          <w:szCs w:val="21"/>
        </w:rPr>
        <w:t xml:space="preserve">A timed script covering the workflow comparison, the four edge cases, the data dictionary and limitations, and the design decisions — with the specific interface actions to perform at each point.</w:t>
      </w:r>
    </w:p>
    <w:p>
      <w:pPr>
        <w:pStyle w:val="Heading1"/>
        <w:spacing w:after="160" w:before="360"/>
      </w:pPr>
      <w:r>
        <w:t xml:space="preserve">C. Documentation errors corrected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200"/>
      </w:tblGrid>
      <w:tr>
        <w:trPr>
          <w:tblHeader/>
        </w:trPr>
        <w:tc>
          <w:tcPr>
            <w:tcW w:type="dxa" w:w="1300"/>
            <w:shd w:fill="1F4E79" w:val="clear"/>
            <w:tcMar>
              <w:top w:type="dxa" w:w="80"/>
              <w:left w:type="dxa" w:w="110"/>
              <w:bottom w:type="dxa" w:w="80"/>
              <w:right w:type="dxa" w:w="110"/>
            </w:tcMar>
          </w:tcPr>
          <w:p>
            <w:r>
              <w:rPr>
                <w:b/>
                <w:bCs/>
                <w:color w:val="FFFFFF"/>
                <w:sz w:val="20"/>
                <w:szCs w:val="20"/>
              </w:rPr>
              <w:t xml:space="preserve">Item</w:t>
            </w:r>
          </w:p>
        </w:tc>
        <w:tc>
          <w:tcPr>
            <w:tcW w:type="dxa" w:w="3500"/>
            <w:shd w:fill="1F4E79" w:val="clear"/>
            <w:tcMar>
              <w:top w:type="dxa" w:w="80"/>
              <w:left w:type="dxa" w:w="110"/>
              <w:bottom w:type="dxa" w:w="80"/>
              <w:right w:type="dxa" w:w="110"/>
            </w:tcMar>
          </w:tcPr>
          <w:p>
            <w:r>
              <w:rPr>
                <w:b/>
                <w:bCs/>
                <w:color w:val="FFFFFF"/>
                <w:sz w:val="20"/>
                <w:szCs w:val="20"/>
              </w:rPr>
              <w:t xml:space="preserve">Problem</w:t>
            </w:r>
          </w:p>
        </w:tc>
        <w:tc>
          <w:tcPr>
            <w:tcW w:type="dxa" w:w="4200"/>
            <w:shd w:fill="1F4E79" w:val="clear"/>
            <w:tcMar>
              <w:top w:type="dxa" w:w="80"/>
              <w:left w:type="dxa" w:w="110"/>
              <w:bottom w:type="dxa" w:w="80"/>
              <w:right w:type="dxa" w:w="110"/>
            </w:tcMar>
          </w:tcPr>
          <w:p>
            <w:r>
              <w:rPr>
                <w:b/>
                <w:bCs/>
                <w:color w:val="FFFFFF"/>
                <w:sz w:val="20"/>
                <w:szCs w:val="20"/>
              </w:rPr>
              <w:t xml:space="preserve">Correction</w:t>
            </w:r>
          </w:p>
        </w:tc>
      </w:tr>
      <w:tr>
        <w:tc>
          <w:tcPr>
            <w:tcW w:type="dxa" w:w="1300"/>
            <w:tcMar>
              <w:top w:type="dxa" w:w="80"/>
              <w:left w:type="dxa" w:w="110"/>
              <w:bottom w:type="dxa" w:w="80"/>
              <w:right w:type="dxa" w:w="110"/>
            </w:tcMar>
          </w:tcPr>
          <w:p>
            <w:r>
              <w:rPr>
                <w:sz w:val="20"/>
                <w:szCs w:val="20"/>
              </w:rPr>
              <w:t xml:space="preserve">Decision 1</w:t>
            </w:r>
          </w:p>
        </w:tc>
        <w:tc>
          <w:tcPr>
            <w:tcW w:type="dxa" w:w="3500"/>
            <w:tcMar>
              <w:top w:type="dxa" w:w="80"/>
              <w:left w:type="dxa" w:w="110"/>
              <w:bottom w:type="dxa" w:w="80"/>
              <w:right w:type="dxa" w:w="110"/>
            </w:tcMar>
          </w:tcPr>
          <w:p>
            <w:r>
              <w:rPr>
                <w:sz w:val="20"/>
                <w:szCs w:val="20"/>
              </w:rPr>
              <w:t xml:space="preserve">Claimed rule-based logic is auditable, using that to imply the decisions are justified</w:t>
            </w:r>
          </w:p>
        </w:tc>
        <w:tc>
          <w:tcPr>
            <w:tcW w:type="dxa" w:w="4200"/>
            <w:tcMar>
              <w:top w:type="dxa" w:w="80"/>
              <w:left w:type="dxa" w:w="110"/>
              <w:bottom w:type="dxa" w:w="80"/>
              <w:right w:type="dxa" w:w="110"/>
            </w:tcMar>
          </w:tcPr>
          <w:p>
            <w:r>
              <w:rPr>
                <w:sz w:val="20"/>
                <w:szCs w:val="20"/>
              </w:rPr>
              <w:t xml:space="preserve">Now distinguishes auditability of mechanism from justifiability of parameters — a planner can read the rule that fired and still have no basis for judging whether 1.4 was right</w:t>
            </w:r>
          </w:p>
        </w:tc>
      </w:tr>
      <w:tr>
        <w:tc>
          <w:tcPr>
            <w:tcW w:type="dxa" w:w="1300"/>
            <w:shd w:fill="F2F2F2" w:val="clear"/>
            <w:tcMar>
              <w:top w:type="dxa" w:w="80"/>
              <w:left w:type="dxa" w:w="110"/>
              <w:bottom w:type="dxa" w:w="80"/>
              <w:right w:type="dxa" w:w="110"/>
            </w:tcMar>
          </w:tcPr>
          <w:p>
            <w:r>
              <w:rPr>
                <w:sz w:val="20"/>
                <w:szCs w:val="20"/>
              </w:rPr>
              <w:t xml:space="preserve">Decision 4</w:t>
            </w:r>
          </w:p>
        </w:tc>
        <w:tc>
          <w:tcPr>
            <w:tcW w:type="dxa" w:w="3500"/>
            <w:shd w:fill="F2F2F2" w:val="clear"/>
            <w:tcMar>
              <w:top w:type="dxa" w:w="80"/>
              <w:left w:type="dxa" w:w="110"/>
              <w:bottom w:type="dxa" w:w="80"/>
              <w:right w:type="dxa" w:w="110"/>
            </w:tcMar>
          </w:tcPr>
          <w:p>
            <w:r>
              <w:rPr>
                <w:sz w:val="20"/>
                <w:szCs w:val="20"/>
              </w:rPr>
              <w:t xml:space="preserve">Stated ACC-9981 had 2 nonzero weeks of 12</w:t>
            </w:r>
          </w:p>
        </w:tc>
        <w:tc>
          <w:tcPr>
            <w:tcW w:type="dxa" w:w="4200"/>
            <w:shd w:fill="F2F2F2" w:val="clear"/>
            <w:tcMar>
              <w:top w:type="dxa" w:w="80"/>
              <w:left w:type="dxa" w:w="110"/>
              <w:bottom w:type="dxa" w:w="80"/>
              <w:right w:type="dxa" w:w="110"/>
            </w:tcMar>
          </w:tcPr>
          <w:p>
            <w:r>
              <w:rPr>
                <w:sz w:val="20"/>
                <w:szCs w:val="20"/>
              </w:rPr>
              <w:t xml:space="preserve">Corrected to 3, verified against the data</w:t>
            </w:r>
          </w:p>
        </w:tc>
      </w:tr>
      <w:tr>
        <w:tc>
          <w:tcPr>
            <w:tcW w:type="dxa" w:w="1300"/>
            <w:tcMar>
              <w:top w:type="dxa" w:w="80"/>
              <w:left w:type="dxa" w:w="110"/>
              <w:bottom w:type="dxa" w:w="80"/>
              <w:right w:type="dxa" w:w="110"/>
            </w:tcMar>
          </w:tcPr>
          <w:p>
            <w:r>
              <w:rPr>
                <w:sz w:val="20"/>
                <w:szCs w:val="20"/>
              </w:rPr>
              <w:t xml:space="preserve">Decision 5</w:t>
            </w:r>
          </w:p>
        </w:tc>
        <w:tc>
          <w:tcPr>
            <w:tcW w:type="dxa" w:w="3500"/>
            <w:tcMar>
              <w:top w:type="dxa" w:w="80"/>
              <w:left w:type="dxa" w:w="110"/>
              <w:bottom w:type="dxa" w:w="80"/>
              <w:right w:type="dxa" w:w="110"/>
            </w:tcMar>
          </w:tcPr>
          <w:p>
            <w:r>
              <w:rPr>
                <w:sz w:val="20"/>
                <w:szCs w:val="20"/>
              </w:rPr>
              <w:t xml:space="preserve">Described the superseded eight-week fallback approach</w:t>
            </w:r>
          </w:p>
        </w:tc>
        <w:tc>
          <w:tcPr>
            <w:tcW w:type="dxa" w:w="4200"/>
            <w:tcMar>
              <w:top w:type="dxa" w:w="80"/>
              <w:left w:type="dxa" w:w="110"/>
              <w:bottom w:type="dxa" w:w="80"/>
              <w:right w:type="dxa" w:w="110"/>
            </w:tcMar>
          </w:tcPr>
          <w:p>
            <w:r>
              <w:rPr>
                <w:sz w:val="20"/>
                <w:szCs w:val="20"/>
              </w:rPr>
              <w:t xml:space="preserve">Rewritten to describe the clean-baseline method and to record why the first approach failed</w:t>
            </w:r>
          </w:p>
        </w:tc>
      </w:tr>
      <w:tr>
        <w:tc>
          <w:tcPr>
            <w:tcW w:type="dxa" w:w="1300"/>
            <w:shd w:fill="F2F2F2" w:val="clear"/>
            <w:tcMar>
              <w:top w:type="dxa" w:w="80"/>
              <w:left w:type="dxa" w:w="110"/>
              <w:bottom w:type="dxa" w:w="80"/>
              <w:right w:type="dxa" w:w="110"/>
            </w:tcMar>
          </w:tcPr>
          <w:p>
            <w:r>
              <w:rPr>
                <w:sz w:val="20"/>
                <w:szCs w:val="20"/>
              </w:rPr>
              <w:t xml:space="preserve">Decision 7</w:t>
            </w:r>
          </w:p>
        </w:tc>
        <w:tc>
          <w:tcPr>
            <w:tcW w:type="dxa" w:w="3500"/>
            <w:shd w:fill="F2F2F2" w:val="clear"/>
            <w:tcMar>
              <w:top w:type="dxa" w:w="80"/>
              <w:left w:type="dxa" w:w="110"/>
              <w:bottom w:type="dxa" w:w="80"/>
              <w:right w:type="dxa" w:w="110"/>
            </w:tcMar>
          </w:tcPr>
          <w:p>
            <w:r>
              <w:rPr>
                <w:sz w:val="20"/>
                <w:szCs w:val="20"/>
              </w:rPr>
              <w:t xml:space="preserve">Bundled order routing and inventory deployment together as out of scope</w:t>
            </w:r>
          </w:p>
        </w:tc>
        <w:tc>
          <w:tcPr>
            <w:tcW w:type="dxa" w:w="4200"/>
            <w:shd w:fill="F2F2F2" w:val="clear"/>
            <w:tcMar>
              <w:top w:type="dxa" w:w="80"/>
              <w:left w:type="dxa" w:w="110"/>
              <w:bottom w:type="dxa" w:w="80"/>
              <w:right w:type="dxa" w:w="110"/>
            </w:tcMar>
          </w:tcPr>
          <w:p>
            <w:r>
              <w:rPr>
                <w:sz w:val="20"/>
                <w:szCs w:val="20"/>
              </w:rPr>
              <w:t xml:space="preserve">Now separates them: routing is legitimately an order-management concern, but deployment is core replenishment work and its exclusion was a budget decision, stated as such</w:t>
            </w:r>
          </w:p>
        </w:tc>
      </w:tr>
      <w:tr>
        <w:tc>
          <w:tcPr>
            <w:tcW w:type="dxa" w:w="1300"/>
            <w:tcMar>
              <w:top w:type="dxa" w:w="80"/>
              <w:left w:type="dxa" w:w="110"/>
              <w:bottom w:type="dxa" w:w="80"/>
              <w:right w:type="dxa" w:w="110"/>
            </w:tcMar>
          </w:tcPr>
          <w:p>
            <w:r>
              <w:rPr>
                <w:sz w:val="20"/>
                <w:szCs w:val="20"/>
              </w:rPr>
              <w:t xml:space="preserve">Decision 8</w:t>
            </w:r>
          </w:p>
        </w:tc>
        <w:tc>
          <w:tcPr>
            <w:tcW w:type="dxa" w:w="3500"/>
            <w:tcMar>
              <w:top w:type="dxa" w:w="80"/>
              <w:left w:type="dxa" w:w="110"/>
              <w:bottom w:type="dxa" w:w="80"/>
              <w:right w:type="dxa" w:w="110"/>
            </w:tcMar>
          </w:tcPr>
          <w:p>
            <w:r>
              <w:rPr>
                <w:sz w:val="20"/>
                <w:szCs w:val="20"/>
              </w:rPr>
              <w:t xml:space="preserve">Presented detection of the channel shift as validation of the detector</w:t>
            </w:r>
          </w:p>
        </w:tc>
        <w:tc>
          <w:tcPr>
            <w:tcW w:type="dxa" w:w="4200"/>
            <w:tcMar>
              <w:top w:type="dxa" w:w="80"/>
              <w:left w:type="dxa" w:w="110"/>
              <w:bottom w:type="dxa" w:w="80"/>
              <w:right w:type="dxa" w:w="110"/>
            </w:tcMar>
          </w:tcPr>
          <w:p>
            <w:r>
              <w:rPr>
                <w:sz w:val="20"/>
                <w:szCs w:val="20"/>
              </w:rPr>
              <w:t xml:space="preserve">Now claims the principle rather than the detector, admits the edge case was built so the detector would catch it, and names the action gap</w:t>
            </w:r>
          </w:p>
        </w:tc>
      </w:tr>
      <w:tr>
        <w:tc>
          <w:tcPr>
            <w:tcW w:type="dxa" w:w="1300"/>
            <w:shd w:fill="F2F2F2" w:val="clear"/>
            <w:tcMar>
              <w:top w:type="dxa" w:w="80"/>
              <w:left w:type="dxa" w:w="110"/>
              <w:bottom w:type="dxa" w:w="80"/>
              <w:right w:type="dxa" w:w="110"/>
            </w:tcMar>
          </w:tcPr>
          <w:p>
            <w:r>
              <w:rPr>
                <w:sz w:val="20"/>
                <w:szCs w:val="20"/>
              </w:rPr>
              <w:t xml:space="preserve">Decision 9</w:t>
            </w:r>
          </w:p>
        </w:tc>
        <w:tc>
          <w:tcPr>
            <w:tcW w:type="dxa" w:w="3500"/>
            <w:shd w:fill="F2F2F2" w:val="clear"/>
            <w:tcMar>
              <w:top w:type="dxa" w:w="80"/>
              <w:left w:type="dxa" w:w="110"/>
              <w:bottom w:type="dxa" w:w="80"/>
              <w:right w:type="dxa" w:w="110"/>
            </w:tcMar>
          </w:tcPr>
          <w:p>
            <w:r>
              <w:rPr>
                <w:sz w:val="20"/>
                <w:szCs w:val="20"/>
              </w:rPr>
              <w:t xml:space="preserve">Presented the urgent flag as a clean design while the Limitations section described it as inverted</w:t>
            </w:r>
          </w:p>
        </w:tc>
        <w:tc>
          <w:tcPr>
            <w:tcW w:type="dxa" w:w="4200"/>
            <w:shd w:fill="F2F2F2" w:val="clear"/>
            <w:tcMar>
              <w:top w:type="dxa" w:w="80"/>
              <w:left w:type="dxa" w:w="110"/>
              <w:bottom w:type="dxa" w:w="80"/>
              <w:right w:type="dxa" w:w="110"/>
            </w:tcMar>
          </w:tcPr>
          <w:p>
            <w:r>
              <w:rPr>
                <w:sz w:val="20"/>
                <w:szCs w:val="20"/>
              </w:rPr>
              <w:t xml:space="preserve">Contradiction resolved by stating the routing tension up front and marking it a known defect</w:t>
            </w:r>
          </w:p>
        </w:tc>
      </w:tr>
      <w:tr>
        <w:tc>
          <w:tcPr>
            <w:tcW w:type="dxa" w:w="1300"/>
            <w:tcMar>
              <w:top w:type="dxa" w:w="80"/>
              <w:left w:type="dxa" w:w="110"/>
              <w:bottom w:type="dxa" w:w="80"/>
              <w:right w:type="dxa" w:w="110"/>
            </w:tcMar>
          </w:tcPr>
          <w:p>
            <w:r>
              <w:rPr>
                <w:sz w:val="20"/>
                <w:szCs w:val="20"/>
              </w:rPr>
              <w:t xml:space="preserve">All decisions</w:t>
            </w:r>
          </w:p>
        </w:tc>
        <w:tc>
          <w:tcPr>
            <w:tcW w:type="dxa" w:w="3500"/>
            <w:tcMar>
              <w:top w:type="dxa" w:w="80"/>
              <w:left w:type="dxa" w:w="110"/>
              <w:bottom w:type="dxa" w:w="80"/>
              <w:right w:type="dxa" w:w="110"/>
            </w:tcMar>
          </w:tcPr>
          <w:p>
            <w:r>
              <w:rPr>
                <w:sz w:val="20"/>
                <w:szCs w:val="20"/>
              </w:rPr>
              <w:t xml:space="preserve">No decision stated the conditions under which it would be wrong</w:t>
            </w:r>
          </w:p>
        </w:tc>
        <w:tc>
          <w:tcPr>
            <w:tcW w:type="dxa" w:w="4200"/>
            <w:tcMar>
              <w:top w:type="dxa" w:w="80"/>
              <w:left w:type="dxa" w:w="110"/>
              <w:bottom w:type="dxa" w:w="80"/>
              <w:right w:type="dxa" w:w="110"/>
            </w:tcMar>
          </w:tcPr>
          <w:p>
            <w:r>
              <w:rPr>
                <w:sz w:val="20"/>
                <w:szCs w:val="20"/>
              </w:rPr>
              <w:t xml:space="preserve">Six falsification conditions added</w:t>
            </w:r>
          </w:p>
        </w:tc>
      </w:tr>
      <w:tr>
        <w:tc>
          <w:tcPr>
            <w:tcW w:type="dxa" w:w="1300"/>
            <w:shd w:fill="F2F2F2" w:val="clear"/>
            <w:tcMar>
              <w:top w:type="dxa" w:w="80"/>
              <w:left w:type="dxa" w:w="110"/>
              <w:bottom w:type="dxa" w:w="80"/>
              <w:right w:type="dxa" w:w="110"/>
            </w:tcMar>
          </w:tcPr>
          <w:p>
            <w:r>
              <w:rPr>
                <w:sz w:val="20"/>
                <w:szCs w:val="20"/>
              </w:rPr>
              <w:t xml:space="preserve">Data dictionary</w:t>
            </w:r>
          </w:p>
        </w:tc>
        <w:tc>
          <w:tcPr>
            <w:tcW w:type="dxa" w:w="3500"/>
            <w:shd w:fill="F2F2F2" w:val="clear"/>
            <w:tcMar>
              <w:top w:type="dxa" w:w="80"/>
              <w:left w:type="dxa" w:w="110"/>
              <w:bottom w:type="dxa" w:w="80"/>
              <w:right w:type="dxa" w:w="110"/>
            </w:tcMar>
          </w:tcPr>
          <w:p>
            <w:r>
              <w:rPr>
                <w:sz w:val="20"/>
                <w:szCs w:val="20"/>
              </w:rPr>
              <w:t xml:space="preserve">days_of_cover described using the superseded rule and burn rate</w:t>
            </w:r>
          </w:p>
        </w:tc>
        <w:tc>
          <w:tcPr>
            <w:tcW w:type="dxa" w:w="4200"/>
            <w:shd w:fill="F2F2F2" w:val="clear"/>
            <w:tcMar>
              <w:top w:type="dxa" w:w="80"/>
              <w:left w:type="dxa" w:w="110"/>
              <w:bottom w:type="dxa" w:w="80"/>
              <w:right w:type="dxa" w:w="110"/>
            </w:tcMar>
          </w:tcPr>
          <w:p>
            <w:r>
              <w:rPr>
                <w:sz w:val="20"/>
                <w:szCs w:val="20"/>
              </w:rPr>
              <w:t xml:space="preserve">Updated to the current definition including the seven-day qualifier</w:t>
            </w:r>
          </w:p>
        </w:tc>
      </w:tr>
      <w:tr>
        <w:tc>
          <w:tcPr>
            <w:tcW w:type="dxa" w:w="1300"/>
            <w:tcMar>
              <w:top w:type="dxa" w:w="80"/>
              <w:left w:type="dxa" w:w="110"/>
              <w:bottom w:type="dxa" w:w="80"/>
              <w:right w:type="dxa" w:w="110"/>
            </w:tcMar>
          </w:tcPr>
          <w:p>
            <w:r>
              <w:rPr>
                <w:sz w:val="20"/>
                <w:szCs w:val="20"/>
              </w:rPr>
              <w:t xml:space="preserve">README</w:t>
            </w:r>
          </w:p>
        </w:tc>
        <w:tc>
          <w:tcPr>
            <w:tcW w:type="dxa" w:w="3500"/>
            <w:tcMar>
              <w:top w:type="dxa" w:w="80"/>
              <w:left w:type="dxa" w:w="110"/>
              <w:bottom w:type="dxa" w:w="80"/>
              <w:right w:type="dxa" w:w="110"/>
            </w:tcMar>
          </w:tcPr>
          <w:p>
            <w:r>
              <w:rPr>
                <w:sz w:val="20"/>
                <w:szCs w:val="20"/>
              </w:rPr>
              <w:t xml:space="preserve">Stated the interface had never been runtime-tested</w:t>
            </w:r>
          </w:p>
        </w:tc>
        <w:tc>
          <w:tcPr>
            <w:tcW w:type="dxa" w:w="4200"/>
            <w:tcMar>
              <w:top w:type="dxa" w:w="80"/>
              <w:left w:type="dxa" w:w="110"/>
              <w:bottom w:type="dxa" w:w="80"/>
              <w:right w:type="dxa" w:w="110"/>
            </w:tcMar>
          </w:tcPr>
          <w:p>
            <w:r>
              <w:rPr>
                <w:sz w:val="20"/>
                <w:szCs w:val="20"/>
              </w:rPr>
              <w:t xml:space="preserve">Corrected after deployment; now records that it was verified by deploying rather than by automated testing</w:t>
            </w:r>
          </w:p>
        </w:tc>
      </w:tr>
      <w:tr>
        <w:tc>
          <w:tcPr>
            <w:tcW w:type="dxa" w:w="1300"/>
            <w:shd w:fill="F2F2F2" w:val="clear"/>
            <w:tcMar>
              <w:top w:type="dxa" w:w="80"/>
              <w:left w:type="dxa" w:w="110"/>
              <w:bottom w:type="dxa" w:w="80"/>
              <w:right w:type="dxa" w:w="110"/>
            </w:tcMar>
          </w:tcPr>
          <w:p>
            <w:r>
              <w:rPr>
                <w:sz w:val="20"/>
                <w:szCs w:val="20"/>
              </w:rPr>
              <w:t xml:space="preserve">Video script</w:t>
            </w:r>
          </w:p>
        </w:tc>
        <w:tc>
          <w:tcPr>
            <w:tcW w:type="dxa" w:w="3500"/>
            <w:shd w:fill="F2F2F2" w:val="clear"/>
            <w:tcMar>
              <w:top w:type="dxa" w:w="80"/>
              <w:left w:type="dxa" w:w="110"/>
              <w:bottom w:type="dxa" w:w="80"/>
              <w:right w:type="dxa" w:w="110"/>
            </w:tcMar>
          </w:tcPr>
          <w:p>
            <w:r>
              <w:rPr>
                <w:sz w:val="20"/>
                <w:szCs w:val="20"/>
              </w:rPr>
              <w:t xml:space="preserve">Narration described the superseded spike logic, and the slider demonstration used a SKU that is now permanently flagged urgent</w:t>
            </w:r>
          </w:p>
        </w:tc>
        <w:tc>
          <w:tcPr>
            <w:tcW w:type="dxa" w:w="4200"/>
            <w:shd w:fill="F2F2F2" w:val="clear"/>
            <w:tcMar>
              <w:top w:type="dxa" w:w="80"/>
              <w:left w:type="dxa" w:w="110"/>
              <w:bottom w:type="dxa" w:w="80"/>
              <w:right w:type="dxa" w:w="110"/>
            </w:tcMar>
          </w:tcPr>
          <w:p>
            <w:r>
              <w:rPr>
                <w:sz w:val="20"/>
                <w:szCs w:val="20"/>
              </w:rPr>
              <w:t xml:space="preserve">Narration rewritten; demonstration switched to the channel-shift SKU, which is the item that actually moves</w:t>
            </w:r>
          </w:p>
        </w:tc>
      </w:tr>
    </w:tbl>
    <w:p>
      <w:pPr>
        <w:pStyle w:val="Heading1"/>
        <w:spacing w:after="160" w:before="360"/>
      </w:pPr>
      <w:r>
        <w:t xml:space="preserve">D. Build-process issues</w:t>
      </w:r>
    </w:p>
    <w:p>
      <w:pPr>
        <w:spacing w:after="120"/>
      </w:pPr>
      <w:r>
        <w:rPr>
          <w:sz w:val="21"/>
          <w:szCs w:val="21"/>
        </w:rPr>
        <w:t xml:space="preserve">These are errors made while building and editing, rather than defects in the design. They are recorded because they affected the deliverables and were caught by verification rather than by assumption.</w:t>
      </w:r>
    </w:p>
    <w:p>
      <w:pPr>
        <w:pStyle w:val="Heading3"/>
        <w:spacing w:after="100" w:before="220"/>
      </w:pPr>
      <w:r>
        <w:t xml:space="preserve">D1. Documentation files deleted during a folder rebuild</w:t>
      </w:r>
    </w:p>
    <w:p>
      <w:pPr>
        <w:spacing w:after="120"/>
      </w:pPr>
      <w:r>
        <w:rPr>
          <w:sz w:val="21"/>
          <w:szCs w:val="21"/>
        </w:rPr>
        <w:t xml:space="preserve">Clearing the output directory to repackage the project removed the decisions README and the walkthrough script, which had been written directly into that directory rather than the working directory. Both were recreated with their current content. The underlying mistake was treating the delivery folder as reproducible when it held files that existed nowhere else.</w:t>
      </w:r>
    </w:p>
    <w:p>
      <w:pPr>
        <w:pStyle w:val="Heading3"/>
        <w:spacing w:after="100" w:before="220"/>
      </w:pPr>
      <w:r>
        <w:t xml:space="preserve">D2. Section heading destroyed by a text replacement</w:t>
      </w:r>
    </w:p>
    <w:p>
      <w:pPr>
        <w:spacing w:after="120"/>
      </w:pPr>
      <w:r>
        <w:rPr>
          <w:sz w:val="21"/>
          <w:szCs w:val="21"/>
        </w:rPr>
        <w:t xml:space="preserve">Inserting a new decision entry replaced the Limitations heading instead of preceding it, leaving that section's contents orphaned under the wrong heading. Detected by reading the document structure back after the edit, and repaired.</w:t>
      </w:r>
    </w:p>
    <w:p>
      <w:pPr>
        <w:pStyle w:val="Heading3"/>
        <w:spacing w:after="100" w:before="220"/>
      </w:pPr>
      <w:r>
        <w:t xml:space="preserve">D3. Stray package file copied to the project root</w:t>
      </w:r>
    </w:p>
    <w:p>
      <w:pPr>
        <w:spacing w:after="120"/>
      </w:pPr>
      <w:r>
        <w:rPr>
          <w:sz w:val="21"/>
          <w:szCs w:val="21"/>
        </w:rPr>
        <w:t xml:space="preserve">A copy command with an overly broad pattern placed an __init__.py at the top level of the project. Harmless but wrong, and it would have appeared in the submitted repository. Removed.</w:t>
      </w:r>
    </w:p>
    <w:p>
      <w:pPr>
        <w:pStyle w:val="Heading3"/>
        <w:spacing w:after="100" w:before="220"/>
      </w:pPr>
      <w:r>
        <w:t xml:space="preserve">D4. Decision entries numbered out of sequence</w:t>
      </w:r>
    </w:p>
    <w:p>
      <w:pPr>
        <w:spacing w:after="120"/>
      </w:pPr>
      <w:r>
        <w:rPr>
          <w:sz w:val="21"/>
          <w:szCs w:val="21"/>
        </w:rPr>
        <w:t xml:space="preserve">Two entries were inserted such that 5c preceded 5b. Renumbered.</w:t>
      </w:r>
    </w:p>
    <w:p>
      <w:pPr>
        <w:pStyle w:val="Heading3"/>
        <w:spacing w:after="100" w:before="220"/>
      </w:pPr>
      <w:r>
        <w:t xml:space="preserve">D6. The D2 error was repeated</w:t>
      </w:r>
    </w:p>
    <w:p>
      <w:pPr>
        <w:spacing w:after="120"/>
      </w:pPr>
      <w:r>
        <w:rPr>
          <w:sz w:val="21"/>
          <w:szCs w:val="21"/>
        </w:rPr>
        <w:t xml:space="preserve">While adding the decision entry for the exposure score, the Limitations heading was destroyed a second time by the same kind of replacement that caused D2. Caught the same way — by reading the structure back rather than assuming the edit landed — and repaired. Recorded because a mistake made twice after being documented once says something a mistake made once does not: the verification step caught it, the intent to avoid it did not.</w:t>
      </w:r>
    </w:p>
    <w:p>
      <w:pPr>
        <w:pStyle w:val="Heading3"/>
        <w:spacing w:after="100" w:before="220"/>
      </w:pPr>
      <w:r>
        <w:t xml:space="preserve">D5. Interface could not be runtime-tested during development</w:t>
      </w:r>
    </w:p>
    <w:p>
      <w:pPr>
        <w:spacing w:after="120"/>
      </w:pPr>
      <w:r>
        <w:rPr>
          <w:sz w:val="21"/>
          <w:szCs w:val="21"/>
        </w:rPr>
        <w:t xml:space="preserve">The build environment had no network access, so Streamlit could not be installed and the application layer was never executed during development. Engine logic was verified end-to-end throughout; the interface was verified only once deployed. This is an environment constraint rather than a mistake, but it is the reason the first deployment was the first execution.</w:t>
      </w:r>
    </w:p>
    <w:p>
      <w:pPr>
        <w:pStyle w:val="Heading1"/>
        <w:spacing w:after="160" w:before="360"/>
      </w:pPr>
      <w:r>
        <w:t xml:space="preserve">E. Known issues documented but not fixed</w:t>
      </w:r>
    </w:p>
    <w:p>
      <w:pPr>
        <w:spacing w:after="120"/>
      </w:pPr>
      <w:r>
        <w:rPr>
          <w:sz w:val="21"/>
          <w:szCs w:val="21"/>
        </w:rPr>
        <w:t xml:space="preserve">These remain in the delivered system. They are recorded in the Limitations section of the decisions README with the same detail. They are listed here so the change log gives a complete picture rather than only the corrected items.</w:t>
      </w:r>
    </w:p>
    <w:p>
      <w:pPr>
        <w:pStyle w:val="Heading2"/>
        <w:spacing w:after="120" w:before="280"/>
      </w:pPr>
      <w:r>
        <w:t xml:space="preserve">Signal design</w:t>
      </w:r>
    </w:p>
    <w:p>
      <w:pPr>
        <w:pStyle w:val="ListParagraph"/>
        <w:numPr>
          <w:ilvl w:val="0"/>
          <w:numId w:val="2"/>
        </w:numPr>
        <w:spacing w:after="70"/>
      </w:pPr>
      <w:r>
        <w:rPr>
          <w:sz w:val="21"/>
          <w:szCs w:val="21"/>
        </w:rPr>
        <w:t xml:space="preserve">spike_ratio is structurally compressed. The four-week window is a subset of the eight-week window, so the ratio saturates at 2.0 — a 3.67x jump reports as 1.57. The 1.4 threshold therefore implicitly demands a 2.33x rise, and a SKU whose demand doubles is classified stable at 95% confidence. Fixing this means moving to non-overlapping windows and re-deriving every threshold.</w:t>
      </w:r>
    </w:p>
    <w:p>
      <w:pPr>
        <w:pStyle w:val="ListParagraph"/>
        <w:numPr>
          <w:ilvl w:val="0"/>
          <w:numId w:val="2"/>
        </w:numPr>
        <w:spacing w:after="70"/>
      </w:pPr>
      <w:r>
        <w:rPr>
          <w:sz w:val="21"/>
          <w:szCs w:val="21"/>
        </w:rPr>
        <w:t xml:space="preserve">Thresholds were calibrated against this dataset's noise and only this dataset's. Measured false-positive rate at the 1.4 threshold is 0.00% at the ~12% coefficient of variation the generator produces, 0.12% at 35%, and roughly 3% at 60%. Real retail weekly demand commonly sits in the upper range.</w:t>
      </w:r>
    </w:p>
    <w:p>
      <w:pPr>
        <w:pStyle w:val="ListParagraph"/>
        <w:numPr>
          <w:ilvl w:val="0"/>
          <w:numId w:val="2"/>
        </w:numPr>
        <w:spacing w:after="70"/>
      </w:pPr>
      <w:r>
        <w:rPr>
          <w:sz w:val="21"/>
          <w:szCs w:val="21"/>
        </w:rPr>
        <w:t xml:space="preserve">channel_ratio_gap is blind to direction and asymmetric. It flags two channels both growing at different rates identically to a genuine opposite-direction split, and scores a doubling differently from a halving. Log-space differencing is the standard treatment.</w:t>
      </w:r>
    </w:p>
    <w:p>
      <w:pPr>
        <w:pStyle w:val="ListParagraph"/>
        <w:numPr>
          <w:ilvl w:val="0"/>
          <w:numId w:val="2"/>
        </w:numPr>
        <w:spacing w:after="70"/>
      </w:pPr>
      <w:r>
        <w:rPr>
          <w:sz w:val="21"/>
          <w:szCs w:val="21"/>
        </w:rPr>
        <w:t xml:space="preserve">allocation_gap fires on exactly the two SKUs where a stale allocation value was planted in the generator, and on no others. It has never encountered organic drift. It also has no volume gate, so a share estimated from four observed units is compared against a twenty-point threshold.</w:t>
      </w:r>
    </w:p>
    <w:p>
      <w:pPr>
        <w:pStyle w:val="ListParagraph"/>
        <w:numPr>
          <w:ilvl w:val="0"/>
          <w:numId w:val="2"/>
        </w:numPr>
        <w:spacing w:after="70"/>
      </w:pPr>
      <w:r>
        <w:rPr>
          <w:sz w:val="21"/>
          <w:szCs w:val="21"/>
        </w:rPr>
        <w:t xml:space="preserve">days_of_cover carries no uncertainty. It is a deterministic point estimate, so 'cover below lead time' is closer to a coin-flip statement than a service level. It also ignores in-transit and on-order stock.</w:t>
      </w:r>
    </w:p>
    <w:p>
      <w:pPr>
        <w:pStyle w:val="ListParagraph"/>
        <w:numPr>
          <w:ilvl w:val="0"/>
          <w:numId w:val="2"/>
        </w:numPr>
        <w:spacing w:after="70"/>
      </w:pPr>
      <w:r>
        <w:rPr>
          <w:sz w:val="21"/>
          <w:szCs w:val="21"/>
        </w:rPr>
        <w:t xml:space="preserve">The 4/8/12-week windows are conventional rather than derived — no autocorrelation analysis, no seasonal decomposition. Their nesting causes the compression above. Twenty-six weeks of history cannot support seasonality estimation at all, which needs two or more years.</w:t>
      </w:r>
    </w:p>
    <w:p>
      <w:pPr>
        <w:pStyle w:val="Heading2"/>
        <w:spacing w:after="120" w:before="280"/>
      </w:pPr>
      <w:r>
        <w:t xml:space="preserve">Routing and escalation</w:t>
      </w:r>
    </w:p>
    <w:p>
      <w:pPr>
        <w:pStyle w:val="ListParagraph"/>
        <w:numPr>
          <w:ilvl w:val="0"/>
          <w:numId w:val="2"/>
        </w:numPr>
        <w:spacing w:after="70"/>
      </w:pPr>
      <w:r>
        <w:rPr>
          <w:sz w:val="21"/>
          <w:szCs w:val="21"/>
        </w:rPr>
        <w:t xml:space="preserve">The urgent flag blocks the order that would relieve the urgency. It justifies itself in fulfilment terms — pickup promises breaking, transfers needed — but gates the purchase order. For a high-confidence urgent item, holding the order for review delays the replenishment that ends the stockout. The coherent design places the order automatically and escalates the customer-experience response separately.</w:t>
      </w:r>
    </w:p>
    <w:p>
      <w:pPr>
        <w:pStyle w:val="ListParagraph"/>
        <w:numPr>
          <w:ilvl w:val="0"/>
          <w:numId w:val="2"/>
        </w:numPr>
        <w:spacing w:after="70"/>
      </w:pPr>
      <w:r>
        <w:rPr>
          <w:sz w:val="21"/>
          <w:szCs w:val="21"/>
        </w:rPr>
        <w:t xml:space="preserve">Escalation collapses magnitude into a single queue. route_with_reason() reports which rule fired, but there is no ranking, so a compound-risk item sits alongside a routine one.</w:t>
      </w:r>
    </w:p>
    <w:p>
      <w:pPr>
        <w:pStyle w:val="ListParagraph"/>
        <w:numPr>
          <w:ilvl w:val="0"/>
          <w:numId w:val="2"/>
        </w:numPr>
        <w:spacing w:after="70"/>
      </w:pPr>
      <w:r>
        <w:rPr>
          <w:sz w:val="21"/>
          <w:szCs w:val="21"/>
        </w:rPr>
        <w:t xml:space="preserve">Urgency never clears. days_of_cover is computed from on-hand stock alone with no model of open purchase orders, so a SKU stays urgent every run until physical stock arrives regardless of what a planner approved yesterday. This is the standard path to alert fatigue.</w:t>
      </w:r>
    </w:p>
    <w:p>
      <w:pPr>
        <w:pStyle w:val="Heading2"/>
        <w:spacing w:after="120" w:before="280"/>
      </w:pPr>
      <w:r>
        <w:t xml:space="preserve">Model and scope</w:t>
      </w:r>
    </w:p>
    <w:p>
      <w:pPr>
        <w:pStyle w:val="ListParagraph"/>
        <w:numPr>
          <w:ilvl w:val="0"/>
          <w:numId w:val="2"/>
        </w:numPr>
        <w:spacing w:after="70"/>
      </w:pPr>
      <w:r>
        <w:rPr>
          <w:sz w:val="21"/>
          <w:szCs w:val="21"/>
        </w:rPr>
        <w:t xml:space="preserve">The sparse-history check measures frequency, not volume. A SKU selling roughly one unit a week in five of twelve weeks clears the threshold and receives 95% confidence with a 'demand looks stable' message.</w:t>
      </w:r>
    </w:p>
    <w:p>
      <w:pPr>
        <w:pStyle w:val="ListParagraph"/>
        <w:numPr>
          <w:ilvl w:val="0"/>
          <w:numId w:val="2"/>
        </w:numPr>
        <w:spacing w:after="70"/>
      </w:pPr>
      <w:r>
        <w:rPr>
          <w:sz w:val="21"/>
          <w:szCs w:val="21"/>
        </w:rPr>
        <w:t xml:space="preserve">Confidence penalties are additive and floored at 0.05. Independent uncertainties do not compose linearly, and once an item reaches the floor further signals convey nothing.</w:t>
      </w:r>
    </w:p>
    <w:p>
      <w:pPr>
        <w:pStyle w:val="ListParagraph"/>
        <w:numPr>
          <w:ilvl w:val="0"/>
          <w:numId w:val="2"/>
        </w:numPr>
        <w:spacing w:after="70"/>
      </w:pPr>
      <w:r>
        <w:rPr>
          <w:sz w:val="21"/>
          <w:szCs w:val="21"/>
        </w:rPr>
        <w:t xml:space="preserve">Safety stock is a flat half-week of demand, unconnected to demand variability or lead time. This is the assumption a working planner would question first.</w:t>
      </w:r>
    </w:p>
    <w:p>
      <w:pPr>
        <w:pStyle w:val="ListParagraph"/>
        <w:numPr>
          <w:ilvl w:val="0"/>
          <w:numId w:val="2"/>
        </w:numPr>
        <w:spacing w:after="70"/>
      </w:pPr>
      <w:r>
        <w:rPr>
          <w:sz w:val="21"/>
          <w:szCs w:val="21"/>
        </w:rPr>
        <w:t xml:space="preserve">No minimum order quantities or case packs. Recommendations are raw unit counts; real purchase orders are constrained to supplier case sizes.</w:t>
      </w:r>
    </w:p>
    <w:p>
      <w:pPr>
        <w:pStyle w:val="ListParagraph"/>
        <w:numPr>
          <w:ilvl w:val="0"/>
          <w:numId w:val="2"/>
        </w:numPr>
        <w:spacing w:after="70"/>
      </w:pPr>
      <w:r>
        <w:rPr>
          <w:sz w:val="21"/>
          <w:szCs w:val="21"/>
        </w:rPr>
        <w:t xml:space="preserve">No per-store inventory or fulfilment orchestration. Inventory is a single pooled figure per SKU, which excludes inventory deployment — work that legitimately belongs to replenishment.</w:t>
      </w:r>
    </w:p>
    <w:p>
      <w:pPr>
        <w:pStyle w:val="ListParagraph"/>
        <w:numPr>
          <w:ilvl w:val="0"/>
          <w:numId w:val="2"/>
        </w:numPr>
        <w:spacing w:after="70"/>
      </w:pPr>
      <w:r>
        <w:rPr>
          <w:sz w:val="21"/>
          <w:szCs w:val="21"/>
        </w:rPr>
        <w:t xml:space="preserve">The feedback loop is designed but not implemented. Planner corrections are logged but nothing feeds them back into the decision thresholds.</w:t>
      </w:r>
    </w:p>
    <w:p>
      <w:pPr>
        <w:pBdr>
          <w:bottom w:val="single" w:color="CCCCCC" w:sz="6" w:space="1"/>
        </w:pBdr>
        <w:spacing w:after="160"/>
      </w:pPr>
    </w:p>
    <w:p>
      <w:pPr>
        <w:spacing w:after="0"/>
      </w:pPr>
      <w:r>
        <w:rPr>
          <w:sz w:val="21"/>
          <w:szCs w:val="21"/>
        </w:rPr>
        <w:t xml:space="preserve">All quantitative figures in this document were produced by executing the engine against the project dataset. Where a claim could not be verified, it is not stated.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b/>
      <w:bCs/>
      <w:color w:val="1F4E79"/>
      <w:sz w:val="30"/>
      <w:szCs w:val="30"/>
    </w:rPr>
  </w:style>
  <w:style w:type="paragraph" w:styleId="Heading2">
    <w:name w:val="Heading 2"/>
    <w:basedOn w:val="Normal"/>
    <w:next w:val="Normal"/>
    <w:qFormat/>
    <w:pPr>
      <w:spacing w:after="120" w:before="280"/>
    </w:pPr>
    <w:rPr>
      <w:b/>
      <w:bCs/>
      <w:color w:val="2E5C8A"/>
      <w:sz w:val="25"/>
      <w:szCs w:val="25"/>
    </w:rPr>
  </w:style>
  <w:style w:type="paragraph" w:styleId="Heading3">
    <w:name w:val="Heading 3"/>
    <w:basedOn w:val="Normal"/>
    <w:next w:val="Normal"/>
    <w:qFormat/>
    <w:pPr>
      <w:spacing w:after="100" w:before="220"/>
    </w:pPr>
    <w:rPr>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2026-07-29T15:35:24.483Z</dcterms:created>
  <dcterms:modified xsi:type="dcterms:W3CDTF">2026-07-29T15:35:24.498Z</dcterms:modified>
</cp:coreProperties>
</file>

<file path=docProps/custom.xml><?xml version="1.0" encoding="utf-8"?>
<Properties xmlns="http://schemas.openxmlformats.org/officeDocument/2006/custom-properties" xmlns:vt="http://schemas.openxmlformats.org/officeDocument/2006/docPropsVTypes"/>
</file>