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Project Design Phase</w:t>
      </w:r>
    </w:p>
    <w:p>
      <w:pPr>
        <w:pStyle w:val="Heading2"/>
        <w:spacing w:after="300"/>
        <w:jc w:val="center"/>
      </w:pPr>
      <w:r>
        <w:t xml:space="preserve">Proposed Solution Template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7160"/>
      </w:tblGrid>
      <w:tr>
        <w:tc>
          <w:tcPr>
            <w:tcW w:type="dxa" w:w="3200"/>
            <w:shd w:fill="EFEFEF" w:val="clear"/>
            <w:tcMar>
              <w:top w:type="dxa" w:w="100"/>
              <w:left w:type="dxa" w:w="150"/>
              <w:bottom w:type="dxa" w:w="100"/>
              <w:right w:type="dxa" w:w="150"/>
            </w:tcMar>
            <w:vAlign w:val="center"/>
          </w:tcPr>
          <w:p>
            <w:r>
              <w:rPr>
                <w:b/>
                <w:bCs/>
                <w:sz w:val="22"/>
                <w:szCs w:val="22"/>
              </w:rPr>
              <w:t xml:space="preserve">Date</w:t>
            </w:r>
          </w:p>
        </w:tc>
        <w:tc>
          <w:tcPr>
            <w:tcW w:type="dxa" w:w="7160"/>
            <w:tcMar>
              <w:top w:type="dxa" w:w="100"/>
              <w:left w:type="dxa" w:w="150"/>
              <w:bottom w:type="dxa" w:w="100"/>
              <w:right w:type="dxa" w:w="150"/>
            </w:tcMar>
            <w:vAlign w:val="center"/>
          </w:tcPr>
          <w:p>
            <w:r>
              <w:rPr>
                <w:b w:val="false"/>
                <w:bCs w:val="false"/>
                <w:sz w:val="22"/>
                <w:szCs w:val="22"/>
              </w:rPr>
              <w:t xml:space="preserve">13 July 2026</w:t>
            </w:r>
          </w:p>
        </w:tc>
      </w:tr>
      <w:tr>
        <w:tc>
          <w:tcPr>
            <w:tcW w:type="dxa" w:w="3200"/>
            <w:shd w:fill="EFEFEF" w:val="clear"/>
            <w:tcMar>
              <w:top w:type="dxa" w:w="100"/>
              <w:left w:type="dxa" w:w="150"/>
              <w:bottom w:type="dxa" w:w="100"/>
              <w:right w:type="dxa" w:w="150"/>
            </w:tcMar>
            <w:vAlign w:val="center"/>
          </w:tcPr>
          <w:p>
            <w:r>
              <w:rPr>
                <w:b/>
                <w:bCs/>
                <w:sz w:val="22"/>
                <w:szCs w:val="22"/>
              </w:rPr>
              <w:t xml:space="preserve">Team ID</w:t>
            </w:r>
          </w:p>
        </w:tc>
        <w:tc>
          <w:tcPr>
            <w:tcW w:type="dxa" w:w="7160"/>
            <w:tcMar>
              <w:top w:type="dxa" w:w="100"/>
              <w:left w:type="dxa" w:w="150"/>
              <w:bottom w:type="dxa" w:w="100"/>
              <w:right w:type="dxa" w:w="150"/>
            </w:tcMar>
            <w:vAlign w:val="center"/>
          </w:tcPr>
          <w:p>
            <w:r>
              <w:rPr>
                <w:b w:val="false"/>
                <w:bCs w:val="false"/>
                <w:sz w:val="22"/>
                <w:szCs w:val="22"/>
              </w:rPr>
              <w:t xml:space="preserve">SWTID-2026-8803</w:t>
            </w:r>
          </w:p>
        </w:tc>
      </w:tr>
      <w:tr>
        <w:tc>
          <w:tcPr>
            <w:tcW w:type="dxa" w:w="3200"/>
            <w:shd w:fill="EFEFEF" w:val="clear"/>
            <w:tcMar>
              <w:top w:type="dxa" w:w="100"/>
              <w:left w:type="dxa" w:w="150"/>
              <w:bottom w:type="dxa" w:w="100"/>
              <w:right w:type="dxa" w:w="150"/>
            </w:tcMar>
            <w:vAlign w:val="center"/>
          </w:tcPr>
          <w:p>
            <w:r>
              <w:rPr>
                <w:b/>
                <w:bCs/>
                <w:sz w:val="22"/>
                <w:szCs w:val="22"/>
              </w:rPr>
              <w:t xml:space="preserve">Project Name</w:t>
            </w:r>
          </w:p>
        </w:tc>
        <w:tc>
          <w:tcPr>
            <w:tcW w:type="dxa" w:w="7160"/>
            <w:tcMar>
              <w:top w:type="dxa" w:w="100"/>
              <w:left w:type="dxa" w:w="150"/>
              <w:bottom w:type="dxa" w:w="100"/>
              <w:right w:type="dxa" w:w="150"/>
            </w:tcMar>
            <w:vAlign w:val="center"/>
          </w:tcPr>
          <w:p>
            <w:r>
              <w:rPr>
                <w:b w:val="false"/>
                <w:bCs w:val="false"/>
                <w:sz w:val="22"/>
                <w:szCs w:val="22"/>
              </w:rPr>
              <w:t xml:space="preserve">Book Doctor Management System</w:t>
            </w:r>
          </w:p>
        </w:tc>
      </w:tr>
      <w:tr>
        <w:tc>
          <w:tcPr>
            <w:tcW w:type="dxa" w:w="3200"/>
            <w:shd w:fill="EFEFEF" w:val="clear"/>
            <w:tcMar>
              <w:top w:type="dxa" w:w="100"/>
              <w:left w:type="dxa" w:w="150"/>
              <w:bottom w:type="dxa" w:w="100"/>
              <w:right w:type="dxa" w:w="150"/>
            </w:tcMar>
            <w:vAlign w:val="center"/>
          </w:tcPr>
          <w:p>
            <w:r>
              <w:rPr>
                <w:b/>
                <w:bCs/>
                <w:sz w:val="22"/>
                <w:szCs w:val="22"/>
              </w:rPr>
              <w:t xml:space="preserve">Maximum Marks</w:t>
            </w:r>
          </w:p>
        </w:tc>
        <w:tc>
          <w:tcPr>
            <w:tcW w:type="dxa" w:w="7160"/>
            <w:tcMar>
              <w:top w:type="dxa" w:w="100"/>
              <w:left w:type="dxa" w:w="150"/>
              <w:bottom w:type="dxa" w:w="100"/>
              <w:right w:type="dxa" w:w="150"/>
            </w:tcMar>
            <w:vAlign w:val="center"/>
          </w:tcPr>
          <w:p>
            <w:r>
              <w:rPr>
                <w:b w:val="false"/>
                <w:bCs w:val="false"/>
                <w:sz w:val="22"/>
                <w:szCs w:val="22"/>
              </w:rPr>
              <w:t xml:space="preserve">2 Marks</w:t>
            </w:r>
          </w:p>
        </w:tc>
      </w:tr>
    </w:tbl>
    <w:p>
      <w:pPr>
        <w:spacing w:after="200"/>
      </w:pPr>
    </w:p>
    <w:p>
      <w:pPr>
        <w:spacing w:after="200"/>
      </w:pPr>
      <w:r>
        <w:rPr>
          <w:sz w:val="22"/>
          <w:szCs w:val="22"/>
        </w:rPr>
        <w:t xml:space="preserve">The following table describes the proposed solution for the Book Doctor Management System.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6860"/>
      </w:tblGrid>
      <w:tr>
        <w:trPr>
          <w:tblHeader/>
        </w:trPr>
        <w:tc>
          <w:tcPr>
            <w:tcW w:type="dxa" w:w="700"/>
            <w:shd w:fill="3E5C76" w:val="clear"/>
            <w:tcMar>
              <w:top w:type="dxa" w:w="100"/>
              <w:left w:type="dxa" w:w="120"/>
              <w:bottom w:type="dxa" w:w="100"/>
              <w:right w:type="dxa" w:w="120"/>
            </w:tcMar>
            <w:vAlign w:val="center"/>
          </w:tcPr>
          <w:p>
            <w:pPr>
              <w:jc w:val="center"/>
            </w:pPr>
            <w:r>
              <w:rPr>
                <w:b/>
                <w:bCs/>
                <w:color w:val="FFFFFF"/>
                <w:sz w:val="20"/>
                <w:szCs w:val="20"/>
              </w:rPr>
              <w:t xml:space="preserve">S.No.</w:t>
            </w:r>
          </w:p>
        </w:tc>
        <w:tc>
          <w:tcPr>
            <w:tcW w:type="dxa" w:w="2600"/>
            <w:shd w:fill="3E5C76" w:val="clear"/>
            <w:tcMar>
              <w:top w:type="dxa" w:w="100"/>
              <w:left w:type="dxa" w:w="120"/>
              <w:bottom w:type="dxa" w:w="100"/>
              <w:right w:type="dxa" w:w="120"/>
            </w:tcMar>
            <w:vAlign w:val="center"/>
          </w:tcPr>
          <w:p>
            <w:pPr>
              <w:jc w:val="center"/>
            </w:pPr>
            <w:r>
              <w:rPr>
                <w:b/>
                <w:bCs/>
                <w:color w:val="FFFFFF"/>
                <w:sz w:val="20"/>
                <w:szCs w:val="20"/>
              </w:rPr>
              <w:t xml:space="preserve">Parameter</w:t>
            </w:r>
          </w:p>
        </w:tc>
        <w:tc>
          <w:tcPr>
            <w:tcW w:type="dxa" w:w="6860"/>
            <w:shd w:fill="3E5C76" w:val="clear"/>
            <w:tcMar>
              <w:top w:type="dxa" w:w="100"/>
              <w:left w:type="dxa" w:w="120"/>
              <w:bottom w:type="dxa" w:w="100"/>
              <w:right w:type="dxa" w:w="120"/>
            </w:tcMar>
            <w:vAlign w:val="center"/>
          </w:tcPr>
          <w:p>
            <w:pPr>
              <w:jc w:val="center"/>
            </w:pPr>
            <w:r>
              <w:rPr>
                <w:b/>
                <w:bCs/>
                <w:color w:val="FFFFFF"/>
                <w:sz w:val="20"/>
                <w:szCs w:val="20"/>
              </w:rPr>
              <w:t xml:space="preserve">Description</w:t>
            </w:r>
          </w:p>
        </w:tc>
      </w:tr>
      <w:tr>
        <w:tc>
          <w:tcPr>
            <w:tcW w:type="dxa" w:w="700"/>
            <w:tcMar>
              <w:top w:type="dxa" w:w="120"/>
              <w:left w:type="dxa" w:w="150"/>
              <w:bottom w:type="dxa" w:w="120"/>
              <w:right w:type="dxa" w:w="150"/>
            </w:tcMar>
            <w:vAlign w:val="center"/>
          </w:tcPr>
          <w:p>
            <w:pPr>
              <w:jc w:val="center"/>
            </w:pPr>
            <w:r>
              <w:rPr>
                <w:b/>
                <w:bCs/>
                <w:sz w:val="20"/>
                <w:szCs w:val="20"/>
              </w:rPr>
              <w:t xml:space="preserve">1</w:t>
            </w:r>
          </w:p>
        </w:tc>
        <w:tc>
          <w:tcPr>
            <w:tcW w:type="dxa" w:w="2600"/>
            <w:tcMar>
              <w:top w:type="dxa" w:w="120"/>
              <w:left w:type="dxa" w:w="150"/>
              <w:bottom w:type="dxa" w:w="120"/>
              <w:right w:type="dxa" w:w="150"/>
            </w:tcMar>
            <w:vAlign w:val="center"/>
          </w:tcPr>
          <w:p>
            <w:pPr>
              <w:jc w:val="left"/>
            </w:pPr>
            <w:r>
              <w:rPr>
                <w:b/>
                <w:bCs/>
                <w:sz w:val="20"/>
                <w:szCs w:val="20"/>
              </w:rPr>
              <w:t xml:space="preserve">Problem Statement (Problem to be solved)</w:t>
            </w:r>
          </w:p>
        </w:tc>
        <w:tc>
          <w:tcPr>
            <w:tcW w:type="dxa" w:w="6860"/>
            <w:tcMar>
              <w:top w:type="dxa" w:w="120"/>
              <w:left w:type="dxa" w:w="150"/>
              <w:bottom w:type="dxa" w:w="120"/>
              <w:right w:type="dxa" w:w="150"/>
            </w:tcMar>
            <w:vAlign w:val="center"/>
          </w:tcPr>
          <w:p>
            <w:pPr>
              <w:jc w:val="left"/>
            </w:pPr>
            <w:r>
              <w:rPr>
                <w:b w:val="false"/>
                <w:bCs w:val="false"/>
                <w:sz w:val="20"/>
                <w:szCs w:val="20"/>
              </w:rPr>
              <w:t xml:space="preserve">Patients currently rely on phone calls, walk-ins, and manual registers to check doctor availability and book appointments. This causes delays, double-booking, lost records, and gives doctors and administrators no clear, centralized way to track appointments or patient history.</w:t>
            </w:r>
          </w:p>
        </w:tc>
      </w:tr>
      <w:tr>
        <w:tc>
          <w:tcPr>
            <w:tcW w:type="dxa" w:w="700"/>
            <w:shd w:fill="F9F9F9" w:val="clear"/>
            <w:tcMar>
              <w:top w:type="dxa" w:w="120"/>
              <w:left w:type="dxa" w:w="150"/>
              <w:bottom w:type="dxa" w:w="120"/>
              <w:right w:type="dxa" w:w="150"/>
            </w:tcMar>
            <w:vAlign w:val="center"/>
          </w:tcPr>
          <w:p>
            <w:pPr>
              <w:jc w:val="center"/>
            </w:pPr>
            <w:r>
              <w:rPr>
                <w:b/>
                <w:bCs/>
                <w:sz w:val="20"/>
                <w:szCs w:val="20"/>
              </w:rPr>
              <w:t xml:space="preserve">2</w:t>
            </w:r>
          </w:p>
        </w:tc>
        <w:tc>
          <w:tcPr>
            <w:tcW w:type="dxa" w:w="2600"/>
            <w:shd w:fill="F9F9F9" w:val="clear"/>
            <w:tcMar>
              <w:top w:type="dxa" w:w="120"/>
              <w:left w:type="dxa" w:w="150"/>
              <w:bottom w:type="dxa" w:w="120"/>
              <w:right w:type="dxa" w:w="150"/>
            </w:tcMar>
            <w:vAlign w:val="center"/>
          </w:tcPr>
          <w:p>
            <w:pPr>
              <w:jc w:val="left"/>
            </w:pPr>
            <w:r>
              <w:rPr>
                <w:b/>
                <w:bCs/>
                <w:sz w:val="20"/>
                <w:szCs w:val="20"/>
              </w:rPr>
              <w:t xml:space="preserve">Idea / Solution description</w:t>
            </w:r>
          </w:p>
        </w:tc>
        <w:tc>
          <w:tcPr>
            <w:tcW w:type="dxa" w:w="6860"/>
            <w:shd w:fill="F9F9F9" w:val="clear"/>
            <w:tcMar>
              <w:top w:type="dxa" w:w="120"/>
              <w:left w:type="dxa" w:w="150"/>
              <w:bottom w:type="dxa" w:w="120"/>
              <w:right w:type="dxa" w:w="150"/>
            </w:tcMar>
            <w:vAlign w:val="center"/>
          </w:tcPr>
          <w:p>
            <w:pPr>
              <w:jc w:val="left"/>
            </w:pPr>
            <w:r>
              <w:rPr>
                <w:b w:val="false"/>
                <w:bCs w:val="false"/>
                <w:sz w:val="20"/>
                <w:szCs w:val="20"/>
              </w:rPr>
              <w:t xml:space="preserve">A full-stack MERN web application that digitizes the entire appointment workflow: patients search doctors and book appointments online in real time; doctors manage requests (approve/reject/complete) through a dedicated dashboard; and administrators monitor doctors, patients, and appointment activity through a central analytics dashboard — all secured with JWT authentication and bcrypt password hashing.</w:t>
            </w:r>
          </w:p>
        </w:tc>
      </w:tr>
      <w:tr>
        <w:tc>
          <w:tcPr>
            <w:tcW w:type="dxa" w:w="700"/>
            <w:tcMar>
              <w:top w:type="dxa" w:w="120"/>
              <w:left w:type="dxa" w:w="150"/>
              <w:bottom w:type="dxa" w:w="120"/>
              <w:right w:type="dxa" w:w="150"/>
            </w:tcMar>
            <w:vAlign w:val="center"/>
          </w:tcPr>
          <w:p>
            <w:pPr>
              <w:jc w:val="center"/>
            </w:pPr>
            <w:r>
              <w:rPr>
                <w:b/>
                <w:bCs/>
                <w:sz w:val="20"/>
                <w:szCs w:val="20"/>
              </w:rPr>
              <w:t xml:space="preserve">3</w:t>
            </w:r>
          </w:p>
        </w:tc>
        <w:tc>
          <w:tcPr>
            <w:tcW w:type="dxa" w:w="2600"/>
            <w:tcMar>
              <w:top w:type="dxa" w:w="120"/>
              <w:left w:type="dxa" w:w="150"/>
              <w:bottom w:type="dxa" w:w="120"/>
              <w:right w:type="dxa" w:w="150"/>
            </w:tcMar>
            <w:vAlign w:val="center"/>
          </w:tcPr>
          <w:p>
            <w:pPr>
              <w:jc w:val="left"/>
            </w:pPr>
            <w:r>
              <w:rPr>
                <w:b/>
                <w:bCs/>
                <w:sz w:val="20"/>
                <w:szCs w:val="20"/>
              </w:rPr>
              <w:t xml:space="preserve">Novelty / Uniqueness</w:t>
            </w:r>
          </w:p>
        </w:tc>
        <w:tc>
          <w:tcPr>
            <w:tcW w:type="dxa" w:w="6860"/>
            <w:tcMar>
              <w:top w:type="dxa" w:w="120"/>
              <w:left w:type="dxa" w:w="150"/>
              <w:bottom w:type="dxa" w:w="120"/>
              <w:right w:type="dxa" w:w="150"/>
            </w:tcMar>
            <w:vAlign w:val="center"/>
          </w:tcPr>
          <w:p>
            <w:pPr>
              <w:jc w:val="left"/>
            </w:pPr>
            <w:r>
              <w:rPr>
                <w:b w:val="false"/>
                <w:bCs w:val="false"/>
                <w:sz w:val="20"/>
                <w:szCs w:val="20"/>
              </w:rPr>
              <w:t xml:space="preserve">A single unified platform with real-time doctor availability and three distinct role-based dashboards (Patient, Doctor, Administrator) built on a secure RESTful MVC architecture — unlike existing manual or fragmented booking methods that have no integrated doctor-approval or admin-oversight workflow.</w:t>
            </w:r>
          </w:p>
        </w:tc>
      </w:tr>
      <w:tr>
        <w:tc>
          <w:tcPr>
            <w:tcW w:type="dxa" w:w="700"/>
            <w:shd w:fill="F9F9F9" w:val="clear"/>
            <w:tcMar>
              <w:top w:type="dxa" w:w="120"/>
              <w:left w:type="dxa" w:w="150"/>
              <w:bottom w:type="dxa" w:w="120"/>
              <w:right w:type="dxa" w:w="150"/>
            </w:tcMar>
            <w:vAlign w:val="center"/>
          </w:tcPr>
          <w:p>
            <w:pPr>
              <w:jc w:val="center"/>
            </w:pPr>
            <w:r>
              <w:rPr>
                <w:b/>
                <w:bCs/>
                <w:sz w:val="20"/>
                <w:szCs w:val="20"/>
              </w:rPr>
              <w:t xml:space="preserve">4</w:t>
            </w:r>
          </w:p>
        </w:tc>
        <w:tc>
          <w:tcPr>
            <w:tcW w:type="dxa" w:w="2600"/>
            <w:shd w:fill="F9F9F9" w:val="clear"/>
            <w:tcMar>
              <w:top w:type="dxa" w:w="120"/>
              <w:left w:type="dxa" w:w="150"/>
              <w:bottom w:type="dxa" w:w="120"/>
              <w:right w:type="dxa" w:w="150"/>
            </w:tcMar>
            <w:vAlign w:val="center"/>
          </w:tcPr>
          <w:p>
            <w:pPr>
              <w:jc w:val="left"/>
            </w:pPr>
            <w:r>
              <w:rPr>
                <w:b/>
                <w:bCs/>
                <w:sz w:val="20"/>
                <w:szCs w:val="20"/>
              </w:rPr>
              <w:t xml:space="preserve">Social Impact / Customer Satisfaction</w:t>
            </w:r>
          </w:p>
        </w:tc>
        <w:tc>
          <w:tcPr>
            <w:tcW w:type="dxa" w:w="6860"/>
            <w:shd w:fill="F9F9F9" w:val="clear"/>
            <w:tcMar>
              <w:top w:type="dxa" w:w="120"/>
              <w:left w:type="dxa" w:w="150"/>
              <w:bottom w:type="dxa" w:w="120"/>
              <w:right w:type="dxa" w:w="150"/>
            </w:tcMar>
            <w:vAlign w:val="center"/>
          </w:tcPr>
          <w:p>
            <w:pPr>
              <w:jc w:val="left"/>
            </w:pPr>
            <w:r>
              <w:rPr>
                <w:b w:val="false"/>
                <w:bCs w:val="false"/>
                <w:sz w:val="20"/>
                <w:szCs w:val="20"/>
              </w:rPr>
              <w:t xml:space="preserve">Improves healthcare accessibility by letting patients book care anytime without phone calls or clinic visits, reduces missed or duplicate appointments, gives doctors clear visibility into their schedules, and gives administrators reliable oversight of the system — building patient trust and reducing avoidable delays in care.</w:t>
            </w:r>
          </w:p>
        </w:tc>
      </w:tr>
      <w:tr>
        <w:tc>
          <w:tcPr>
            <w:tcW w:type="dxa" w:w="700"/>
            <w:tcMar>
              <w:top w:type="dxa" w:w="120"/>
              <w:left w:type="dxa" w:w="150"/>
              <w:bottom w:type="dxa" w:w="120"/>
              <w:right w:type="dxa" w:w="150"/>
            </w:tcMar>
            <w:vAlign w:val="center"/>
          </w:tcPr>
          <w:p>
            <w:pPr>
              <w:jc w:val="center"/>
            </w:pPr>
            <w:r>
              <w:rPr>
                <w:b/>
                <w:bCs/>
                <w:sz w:val="20"/>
                <w:szCs w:val="20"/>
              </w:rPr>
              <w:t xml:space="preserve">5</w:t>
            </w:r>
          </w:p>
        </w:tc>
        <w:tc>
          <w:tcPr>
            <w:tcW w:type="dxa" w:w="2600"/>
            <w:tcMar>
              <w:top w:type="dxa" w:w="120"/>
              <w:left w:type="dxa" w:w="150"/>
              <w:bottom w:type="dxa" w:w="120"/>
              <w:right w:type="dxa" w:w="150"/>
            </w:tcMar>
            <w:vAlign w:val="center"/>
          </w:tcPr>
          <w:p>
            <w:pPr>
              <w:jc w:val="left"/>
            </w:pPr>
            <w:r>
              <w:rPr>
                <w:b/>
                <w:bCs/>
                <w:sz w:val="20"/>
                <w:szCs w:val="20"/>
              </w:rPr>
              <w:t xml:space="preserve">Business Model (Revenue Model)</w:t>
            </w:r>
          </w:p>
        </w:tc>
        <w:tc>
          <w:tcPr>
            <w:tcW w:type="dxa" w:w="6860"/>
            <w:tcMar>
              <w:top w:type="dxa" w:w="120"/>
              <w:left w:type="dxa" w:w="150"/>
              <w:bottom w:type="dxa" w:w="120"/>
              <w:right w:type="dxa" w:w="150"/>
            </w:tcMar>
            <w:vAlign w:val="center"/>
          </w:tcPr>
          <w:p>
            <w:pPr>
              <w:jc w:val="left"/>
            </w:pPr>
            <w:r>
              <w:rPr>
                <w:b w:val="false"/>
                <w:bCs w:val="false"/>
                <w:sz w:val="20"/>
                <w:szCs w:val="20"/>
              </w:rPr>
              <w:t xml:space="preserve">SaaS subscription or per-appointment commission charged to clinics/hospitals for listing doctors on the platform; a freemium model where basic booking stays free for patients while premium features (priority booking, teleconsultation) are paid add-ons for clinics; future revenue from payment-gateway transaction fees, sponsored doctor listings, and video-consultation fees.</w:t>
            </w:r>
          </w:p>
        </w:tc>
      </w:tr>
      <w:tr>
        <w:tc>
          <w:tcPr>
            <w:tcW w:type="dxa" w:w="700"/>
            <w:shd w:fill="F9F9F9" w:val="clear"/>
            <w:tcMar>
              <w:top w:type="dxa" w:w="120"/>
              <w:left w:type="dxa" w:w="150"/>
              <w:bottom w:type="dxa" w:w="120"/>
              <w:right w:type="dxa" w:w="150"/>
            </w:tcMar>
            <w:vAlign w:val="center"/>
          </w:tcPr>
          <w:p>
            <w:pPr>
              <w:jc w:val="center"/>
            </w:pPr>
            <w:r>
              <w:rPr>
                <w:b/>
                <w:bCs/>
                <w:sz w:val="20"/>
                <w:szCs w:val="20"/>
              </w:rPr>
              <w:t xml:space="preserve">6</w:t>
            </w:r>
          </w:p>
        </w:tc>
        <w:tc>
          <w:tcPr>
            <w:tcW w:type="dxa" w:w="2600"/>
            <w:shd w:fill="F9F9F9" w:val="clear"/>
            <w:tcMar>
              <w:top w:type="dxa" w:w="120"/>
              <w:left w:type="dxa" w:w="150"/>
              <w:bottom w:type="dxa" w:w="120"/>
              <w:right w:type="dxa" w:w="150"/>
            </w:tcMar>
            <w:vAlign w:val="center"/>
          </w:tcPr>
          <w:p>
            <w:pPr>
              <w:jc w:val="left"/>
            </w:pPr>
            <w:r>
              <w:rPr>
                <w:b/>
                <w:bCs/>
                <w:sz w:val="20"/>
                <w:szCs w:val="20"/>
              </w:rPr>
              <w:t xml:space="preserve">Scalability of the Solution</w:t>
            </w:r>
          </w:p>
        </w:tc>
        <w:tc>
          <w:tcPr>
            <w:tcW w:type="dxa" w:w="6860"/>
            <w:shd w:fill="F9F9F9" w:val="clear"/>
            <w:tcMar>
              <w:top w:type="dxa" w:w="120"/>
              <w:left w:type="dxa" w:w="150"/>
              <w:bottom w:type="dxa" w:w="120"/>
              <w:right w:type="dxa" w:w="150"/>
            </w:tcMar>
            <w:vAlign w:val="center"/>
          </w:tcPr>
          <w:p>
            <w:pPr>
              <w:jc w:val="left"/>
            </w:pPr>
            <w:r>
              <w:rPr>
                <w:b w:val="false"/>
                <w:bCs w:val="false"/>
                <w:sz w:val="20"/>
                <w:szCs w:val="20"/>
              </w:rPr>
              <w:t xml:space="preserve">Built on MongoDB's flexible, horizontally scalable schema and a stateless Node.js/Express REST API secured with JWT, so the system can scale across more servers as user load grows. The modular MVC architecture and role-based APIs make it straightforward to onboard more clinics, doctors, and patients, and to extend with future features (payments, video consultation, notifications, mobile app) without redesigning the core system.</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2026-07-14T02:03:45.967Z</dcterms:created>
  <dcterms:modified xsi:type="dcterms:W3CDTF">2026-07-14T02:03:45.981Z</dcterms:modified>
</cp:coreProperties>
</file>

<file path=docProps/custom.xml><?xml version="1.0" encoding="utf-8"?>
<Properties xmlns="http://schemas.openxmlformats.org/officeDocument/2006/custom-properties" xmlns:vt="http://schemas.openxmlformats.org/officeDocument/2006/docPropsVTypes"/>
</file>