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788"/>
          <w:sz w:val="36"/>
          <w:szCs w:val="36"/>
        </w:rPr>
        <w:t xml:space="preserve">Appendix A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Data Protection Impact Assessment (DPIA)</w:t>
      </w:r>
    </w:p>
    <w:p>
      <w:pPr>
        <w:spacing w:after="400"/>
        <w:jc w:val="center"/>
      </w:pPr>
      <w:r>
        <w:rPr>
          <w:sz w:val="28"/>
          <w:szCs w:val="28"/>
        </w:rPr>
        <w:t xml:space="preserve">Care Predict AI System</w:t>
      </w:r>
    </w:p>
    <w:p>
      <w:pPr>
        <w:pStyle w:val="Heading1"/>
        <w:spacing w:after="200"/>
      </w:pPr>
      <w: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Care Predict AI-Driven Health Prediction Platform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Controller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Health Sync Systems Ltd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DPIA Date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30/04/2026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Assessor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Privacy Consultant / DPO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Annually or upon significant changes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1.1 Project Description</w:t>
      </w:r>
    </w:p>
    <w:p>
      <w:pPr>
        <w:spacing w:after="200"/>
      </w:pPr>
      <w:r>
        <w:t xml:space="preserve">Care Predict analyzes patient health data from electronic health records, wearable devices, and third-party health databases using machine learning algorithms to predict health risks and generate personalized treatment recommendations. The system processes special category data under GDPR Article 9 and employs automated decision-making under Article 22.</w:t>
      </w:r>
    </w:p>
    <w:p>
      <w:pPr>
        <w:pStyle w:val="Heading2"/>
        <w:spacing w:after="100"/>
      </w:pPr>
      <w:r>
        <w:t xml:space="preserve">1.2 DPIA Necessity</w:t>
      </w:r>
    </w:p>
    <w:p>
      <w:pPr>
        <w:spacing w:after="100"/>
      </w:pPr>
      <w:r>
        <w:t xml:space="preserve">This DPIA is required under GDPR Article 35 because Care Predict involves:</w:t>
      </w:r>
    </w:p>
    <w:p>
      <w:pPr>
        <w:pStyle w:val="ListParagraph"/>
        <w:numPr>
          <w:ilvl w:val="0"/>
          <w:numId w:val="2"/>
        </w:numPr>
      </w:pPr>
      <w:r>
        <w:t xml:space="preserve">Systematic and extensive automated processing including profiling with legal or significant effects</w:t>
      </w:r>
    </w:p>
    <w:p>
      <w:pPr>
        <w:pStyle w:val="ListParagraph"/>
        <w:numPr>
          <w:ilvl w:val="0"/>
          <w:numId w:val="2"/>
        </w:numPr>
      </w:pPr>
      <w:r>
        <w:t xml:space="preserve">Large-scale processing of special category data (health information)</w:t>
      </w:r>
    </w:p>
    <w:p>
      <w:pPr>
        <w:pStyle w:val="ListParagraph"/>
        <w:numPr>
          <w:ilvl w:val="0"/>
          <w:numId w:val="2"/>
        </w:numPr>
      </w:pPr>
      <w:r>
        <w:t xml:space="preserve">Systematic monitoring of publicly accessible areas (wearable device data)</w:t>
      </w:r>
    </w:p>
    <w:p>
      <w:pPr>
        <w:spacing w:after="200"/>
      </w:pPr>
    </w:p>
    <w:p>
      <w:pPr>
        <w:pStyle w:val="Heading1"/>
        <w:spacing w:after="200"/>
      </w:pPr>
      <w:r>
        <w:t xml:space="preserve">2. Data Processing Description</w:t>
      </w:r>
    </w:p>
    <w:p>
      <w:pPr>
        <w:pStyle w:val="Heading2"/>
        <w:spacing w:after="100"/>
      </w:pPr>
      <w:r>
        <w:t xml:space="preserve">2.1 Types of Personal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Category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Specific Data Points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Demographic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Name, age, gender, address, contact details, ethnicity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Health Records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Diagnoses, medications, lab results, clinical notes, medical history, allergies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Wearable Data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Heart rate, blood pressure, activity levels, sleep patterns, blood glucose, SpO2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Biometric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ECG readings, glucose monitoring data, continuous physiological measurements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Behavioral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Exercise patterns, medication adherence, appointment attendance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Third-Party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Population health statistics, medication interaction databases, research data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2.2 Data Sources</w:t>
      </w:r>
    </w:p>
    <w:p>
      <w:pPr>
        <w:pStyle w:val="ListParagraph"/>
        <w:numPr>
          <w:ilvl w:val="0"/>
          <w:numId w:val="2"/>
        </w:numPr>
      </w:pPr>
      <w:r>
        <w:t xml:space="preserve">Electronic Health Record (EHR) systems via HL7 FHIR APIs</w:t>
      </w:r>
    </w:p>
    <w:p>
      <w:pPr>
        <w:pStyle w:val="ListParagraph"/>
        <w:numPr>
          <w:ilvl w:val="0"/>
          <w:numId w:val="2"/>
        </w:numPr>
      </w:pPr>
      <w:r>
        <w:t xml:space="preserve">Wearable devices (Fitbit, Apple Watch, continuous glucose monitors) via OAuth 2.0</w:t>
      </w:r>
    </w:p>
    <w:p>
      <w:pPr>
        <w:pStyle w:val="ListParagraph"/>
        <w:numPr>
          <w:ilvl w:val="0"/>
          <w:numId w:val="2"/>
        </w:numPr>
      </w:pPr>
      <w:r>
        <w:t xml:space="preserve">Third-party health databases (anonymized population data, clinical research)</w:t>
      </w:r>
    </w:p>
    <w:p>
      <w:pPr>
        <w:pStyle w:val="ListParagraph"/>
        <w:numPr>
          <w:ilvl w:val="0"/>
          <w:numId w:val="2"/>
        </w:numPr>
      </w:pPr>
      <w:r>
        <w:t xml:space="preserve">Direct patient input via mobile application</w:t>
      </w:r>
    </w:p>
    <w:p>
      <w:pPr>
        <w:spacing w:after="200"/>
      </w:pPr>
    </w:p>
    <w:p>
      <w:pPr>
        <w:pStyle w:val="Heading2"/>
        <w:spacing w:after="100"/>
      </w:pPr>
      <w:r>
        <w:t xml:space="preserve">2.3 Processing Activities</w:t>
      </w:r>
    </w:p>
    <w:p>
      <w:pPr>
        <w:pStyle w:val="ListParagraph"/>
        <w:numPr>
          <w:ilvl w:val="0"/>
          <w:numId w:val="2"/>
        </w:numPr>
      </w:pPr>
      <w:r>
        <w:t xml:space="preserve">Data collection and integration from multiple sources</w:t>
      </w:r>
    </w:p>
    <w:p>
      <w:pPr>
        <w:pStyle w:val="ListParagraph"/>
        <w:numPr>
          <w:ilvl w:val="0"/>
          <w:numId w:val="2"/>
        </w:numPr>
      </w:pPr>
      <w:r>
        <w:t xml:space="preserve">Data preprocessing (normalization, outlier detection, feature engineering)</w:t>
      </w:r>
    </w:p>
    <w:p>
      <w:pPr>
        <w:pStyle w:val="ListParagraph"/>
        <w:numPr>
          <w:ilvl w:val="0"/>
          <w:numId w:val="2"/>
        </w:numPr>
      </w:pPr>
      <w:r>
        <w:t xml:space="preserve">AI model training on historical patient data</w:t>
      </w:r>
    </w:p>
    <w:p>
      <w:pPr>
        <w:pStyle w:val="ListParagraph"/>
        <w:numPr>
          <w:ilvl w:val="0"/>
          <w:numId w:val="2"/>
        </w:numPr>
      </w:pPr>
      <w:r>
        <w:t xml:space="preserve">Automated risk prediction generation (cardiovascular, diabetic, respiratory risks)</w:t>
      </w:r>
    </w:p>
    <w:p>
      <w:pPr>
        <w:pStyle w:val="ListParagraph"/>
        <w:numPr>
          <w:ilvl w:val="0"/>
          <w:numId w:val="2"/>
        </w:numPr>
      </w:pPr>
      <w:r>
        <w:t xml:space="preserve">Treatment recommendation production based on clinical evidence</w:t>
      </w:r>
    </w:p>
    <w:p>
      <w:pPr>
        <w:pStyle w:val="ListParagraph"/>
        <w:numPr>
          <w:ilvl w:val="0"/>
          <w:numId w:val="2"/>
        </w:numPr>
      </w:pPr>
      <w:r>
        <w:t xml:space="preserve">Storage in cloud infrastructure (AWS Frankfurt and US-East regions)</w:t>
      </w:r>
    </w:p>
    <w:p>
      <w:pPr>
        <w:pStyle w:val="ListParagraph"/>
        <w:numPr>
          <w:ilvl w:val="0"/>
          <w:numId w:val="2"/>
        </w:numPr>
      </w:pPr>
      <w:r>
        <w:t xml:space="preserve">Sharing with healthcare providers and approved researchers</w:t>
      </w:r>
    </w:p>
    <w:p>
      <w:pPr>
        <w:spacing w:after="200"/>
      </w:pPr>
    </w:p>
    <w:p>
      <w:pPr>
        <w:pStyle w:val="Heading2"/>
        <w:spacing w:after="100"/>
      </w:pPr>
      <w:r>
        <w:t xml:space="preserve">2.4 Data Subjects</w:t>
      </w:r>
    </w:p>
    <w:p>
      <w:pPr>
        <w:pStyle w:val="ListParagraph"/>
        <w:numPr>
          <w:ilvl w:val="0"/>
          <w:numId w:val="2"/>
        </w:numPr>
      </w:pPr>
      <w:r>
        <w:t xml:space="preserve">Adult patients (18+) enrolled in participating healthcare facilities</w:t>
      </w:r>
    </w:p>
    <w:p>
      <w:pPr>
        <w:pStyle w:val="ListParagraph"/>
        <w:numPr>
          <w:ilvl w:val="0"/>
          <w:numId w:val="2"/>
        </w:numPr>
      </w:pPr>
      <w:r>
        <w:t xml:space="preserve">Pediatric patients (with parental consent)</w:t>
      </w:r>
    </w:p>
    <w:p>
      <w:pPr>
        <w:pStyle w:val="ListParagraph"/>
        <w:numPr>
          <w:ilvl w:val="0"/>
          <w:numId w:val="2"/>
        </w:numPr>
      </w:pPr>
      <w:r>
        <w:t xml:space="preserve">Vulnerable populations: elderly, chronically ill, cognitively impaired</w:t>
      </w:r>
    </w:p>
    <w:p>
      <w:pPr>
        <w:pStyle w:val="ListParagraph"/>
        <w:numPr>
          <w:ilvl w:val="0"/>
          <w:numId w:val="2"/>
        </w:numPr>
      </w:pPr>
      <w:r>
        <w:t xml:space="preserve">Estimated volume: 15 million initial patient records</w:t>
      </w:r>
    </w:p>
    <w:p>
      <w:pPr>
        <w:spacing w:after="200"/>
      </w:pPr>
    </w:p>
    <w:p>
      <w:pPr>
        <w:pStyle w:val="Heading1"/>
        <w:spacing w:after="200"/>
      </w:pPr>
      <w:r>
        <w:t xml:space="preserve">3. Privacy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300"/>
        <w:gridCol w:w="1300"/>
        <w:gridCol w:w="130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Privacy Risk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Likelihood (1-5)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Severity (1-5)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Initial Risk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Residual Risk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breach exposing patient health records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20 - Critical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8 - Medium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Encryption, access controls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Algorithmic bias creating discriminatory outcomes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16 - High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Fairness testing, bias mitigation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Unauthorized employee access to sensitive data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12 - High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RBAC, audit logging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Re-identification of anonymized datasets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10 - Medium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K-anonymity, differential privacy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Inadequate patient consent mechanisms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12 - High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Granular consent, opt-out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Cross-border data transfer violations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15 - High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SCCs, data localization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Third-party vendor data misuse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12 - High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DPAs, vendor audits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Function creep - purpose limitation violations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9 - Medium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3 - Low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Technical controls, policy enforcement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4. Compliance Assessment</w:t>
      </w:r>
    </w:p>
    <w:p>
      <w:pPr>
        <w:pStyle w:val="Heading2"/>
        <w:spacing w:after="100"/>
      </w:pPr>
      <w:r>
        <w:t xml:space="preserve">4.1 Lawfulness of Processing (GDPR Article 6)</w:t>
      </w:r>
    </w:p>
    <w:p>
      <w:pPr>
        <w:spacing w:after="100"/>
      </w:pPr>
      <w:r>
        <w:rPr>
          <w:b/>
          <w:bCs/>
        </w:rPr>
        <w:t xml:space="preserve">Legal Basis: </w:t>
      </w:r>
      <w:r>
        <w:t xml:space="preserve">Consent (Article 6(1)(a)) for general data processing; Explicit consent (Article 9(2)(a)) for health data processing.</w:t>
      </w:r>
    </w:p>
    <w:p>
      <w:pPr>
        <w:spacing w:after="200"/>
      </w:pPr>
      <w:r>
        <w:rPr>
          <w:b/>
          <w:bCs/>
        </w:rPr>
        <w:t xml:space="preserve">Implementation: </w:t>
      </w:r>
      <w:r>
        <w:t xml:space="preserve">Granular consent mechanism with separate opt-ins for EHR access, wearable integration, and third-party sharing. Consent withdrawal supported with immediate effect.</w:t>
      </w:r>
    </w:p>
    <w:p>
      <w:pPr>
        <w:pStyle w:val="Heading2"/>
        <w:spacing w:after="100"/>
      </w:pPr>
      <w:r>
        <w:t xml:space="preserve">4.2 Special Category Data (Article 9)</w:t>
      </w:r>
    </w:p>
    <w:p>
      <w:pPr>
        <w:spacing w:after="100"/>
      </w:pPr>
      <w:r>
        <w:rPr>
          <w:b/>
          <w:bCs/>
        </w:rPr>
        <w:t xml:space="preserve">Requirement: </w:t>
      </w:r>
      <w:r>
        <w:t xml:space="preserve">Explicit consent for processing health data.</w:t>
      </w:r>
    </w:p>
    <w:p>
      <w:pPr>
        <w:spacing w:after="200"/>
      </w:pPr>
      <w:r>
        <w:rPr>
          <w:b/>
          <w:bCs/>
        </w:rPr>
        <w:t xml:space="preserve">Compliance: </w:t>
      </w:r>
      <w:r>
        <w:t xml:space="preserve">Clear, affirmative consent obtained with explanation of processing purposes, data categories, and recipients. Consent freely given, specific, informed, and unambiguous.</w:t>
      </w:r>
    </w:p>
    <w:p>
      <w:pPr>
        <w:pStyle w:val="Heading2"/>
        <w:spacing w:after="100"/>
      </w:pPr>
      <w:r>
        <w:t xml:space="preserve">4.3 Automated Decision-Making (Article 22)</w:t>
      </w:r>
    </w:p>
    <w:p>
      <w:pPr>
        <w:spacing w:after="100"/>
      </w:pPr>
      <w:r>
        <w:rPr>
          <w:b/>
          <w:bCs/>
        </w:rPr>
        <w:t xml:space="preserve">Requirement: </w:t>
      </w:r>
      <w:r>
        <w:t xml:space="preserve">Right not to be subject to solely automated decision-making with legal/significant effects.</w:t>
      </w:r>
    </w:p>
    <w:p>
      <w:pPr>
        <w:spacing w:after="200"/>
      </w:pPr>
      <w:r>
        <w:rPr>
          <w:b/>
          <w:bCs/>
        </w:rPr>
        <w:t xml:space="preserve">Compliance: </w:t>
      </w:r>
      <w:r>
        <w:t xml:space="preserve">Human review process for high-risk predictions. Patients can request clinician assessment. Explainable AI provides meaningful information about decision logic.</w:t>
      </w:r>
    </w:p>
    <w:p>
      <w:pPr>
        <w:pStyle w:val="Heading2"/>
        <w:spacing w:after="100"/>
      </w:pPr>
      <w:r>
        <w:t xml:space="preserve">4.4 Data Minimization (Article 5(1)(c))</w:t>
      </w:r>
    </w:p>
    <w:p>
      <w:pPr>
        <w:spacing w:after="200"/>
      </w:pPr>
      <w:r>
        <w:rPr>
          <w:b/>
          <w:bCs/>
        </w:rPr>
        <w:t xml:space="preserve">Implementation: </w:t>
      </w:r>
      <w:r>
        <w:t xml:space="preserve">Pseudonymization before AI processing. Differential privacy minimizes granular data requirements. Automatic deletion after 90 days. Field-level access controls preventing unnecessary data exposure.</w:t>
      </w:r>
    </w:p>
    <w:p>
      <w:pPr>
        <w:pStyle w:val="Heading2"/>
        <w:spacing w:after="100"/>
      </w:pPr>
      <w:r>
        <w:t xml:space="preserve">4.5 HIPAA Compliance</w:t>
      </w:r>
    </w:p>
    <w:p>
      <w:pPr>
        <w:spacing w:after="100"/>
      </w:pPr>
      <w:r>
        <w:rPr>
          <w:b/>
          <w:bCs/>
        </w:rPr>
        <w:t xml:space="preserve">Security Rule: </w:t>
      </w:r>
      <w:r>
        <w:t xml:space="preserve">AES-256 encryption at rest, TLS 1.3 in transit. Multi-factor authentication. Audit controls. Integrity controls.</w:t>
      </w:r>
    </w:p>
    <w:p>
      <w:pPr>
        <w:spacing w:after="100"/>
      </w:pPr>
      <w:r>
        <w:rPr>
          <w:b/>
          <w:bCs/>
        </w:rPr>
        <w:t xml:space="preserve">Privacy Rule: </w:t>
      </w:r>
      <w:r>
        <w:t xml:space="preserve">Minimum necessary standard via RBAC. Notice of Privacy Practices provided. Individual rights supported (access, amendment, accounting of disclosures).</w:t>
      </w:r>
    </w:p>
    <w:p>
      <w:pPr>
        <w:spacing w:after="200"/>
      </w:pPr>
      <w:r>
        <w:rPr>
          <w:b/>
          <w:bCs/>
        </w:rPr>
        <w:t xml:space="preserve">Breach Notification: </w:t>
      </w:r>
      <w:r>
        <w:t xml:space="preserve">60-day notification procedures. Risk assessment methodology. Notification templates prepared.</w:t>
      </w:r>
    </w:p>
    <w:p>
      <w:pPr>
        <w:pStyle w:val="Heading1"/>
        <w:spacing w:after="200"/>
      </w:pPr>
      <w:r>
        <w:t xml:space="preserve">5. Mitigation Measures</w:t>
      </w:r>
    </w:p>
    <w:p>
      <w:pPr>
        <w:pStyle w:val="Heading2"/>
        <w:spacing w:after="100"/>
      </w:pPr>
      <w:r>
        <w:t xml:space="preserve">5.1 Technical Safeguards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all data transmission and storage</w:t>
      </w:r>
    </w:p>
    <w:p>
      <w:pPr>
        <w:pStyle w:val="ListParagraph"/>
        <w:numPr>
          <w:ilvl w:val="0"/>
          <w:numId w:val="2"/>
        </w:numPr>
      </w:pPr>
      <w:r>
        <w:t xml:space="preserve">Pseudonymization and anonymization techniques (k-anonymity k=5, l-diversity)</w:t>
      </w:r>
    </w:p>
    <w:p>
      <w:pPr>
        <w:pStyle w:val="ListParagraph"/>
        <w:numPr>
          <w:ilvl w:val="0"/>
          <w:numId w:val="2"/>
        </w:numPr>
      </w:pPr>
      <w:r>
        <w:t xml:space="preserve">Differential privacy (epsilon=1.0) for analytics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with least privilege principle</w:t>
      </w:r>
    </w:p>
    <w:p>
      <w:pPr>
        <w:pStyle w:val="ListParagraph"/>
        <w:numPr>
          <w:ilvl w:val="0"/>
          <w:numId w:val="2"/>
        </w:numPr>
      </w:pPr>
      <w:r>
        <w:t xml:space="preserve">Comprehensive audit logging with tamper-evident blockchain verification</w:t>
      </w:r>
    </w:p>
    <w:p>
      <w:pPr>
        <w:pStyle w:val="ListParagraph"/>
        <w:numPr>
          <w:ilvl w:val="0"/>
          <w:numId w:val="2"/>
        </w:numPr>
      </w:pPr>
      <w:r>
        <w:t xml:space="preserve">Automated data retention and deletion policies</w:t>
      </w:r>
    </w:p>
    <w:p>
      <w:pPr>
        <w:pStyle w:val="ListParagraph"/>
        <w:numPr>
          <w:ilvl w:val="0"/>
          <w:numId w:val="2"/>
        </w:numPr>
      </w:pPr>
      <w:r>
        <w:t xml:space="preserve">Intrusion detection and prevention systems</w:t>
      </w:r>
    </w:p>
    <w:p>
      <w:pPr>
        <w:spacing w:after="200"/>
      </w:pPr>
    </w:p>
    <w:p>
      <w:pPr>
        <w:pStyle w:val="Heading2"/>
        <w:spacing w:after="100"/>
      </w:pPr>
      <w:r>
        <w:t xml:space="preserve">5.2 Organizational Safeguards</w:t>
      </w:r>
    </w:p>
    <w:p>
      <w:pPr>
        <w:pStyle w:val="ListParagraph"/>
        <w:numPr>
          <w:ilvl w:val="0"/>
          <w:numId w:val="2"/>
        </w:numPr>
      </w:pPr>
      <w:r>
        <w:t xml:space="preserve">Privacy by design integration in development lifecycle</w:t>
      </w:r>
    </w:p>
    <w:p>
      <w:pPr>
        <w:pStyle w:val="ListParagraph"/>
        <w:numPr>
          <w:ilvl w:val="0"/>
          <w:numId w:val="2"/>
        </w:numPr>
      </w:pPr>
      <w:r>
        <w:t xml:space="preserve">Data Protection Officer oversight and governance</w:t>
      </w:r>
    </w:p>
    <w:p>
      <w:pPr>
        <w:pStyle w:val="ListParagraph"/>
        <w:numPr>
          <w:ilvl w:val="0"/>
          <w:numId w:val="2"/>
        </w:numPr>
      </w:pPr>
      <w:r>
        <w:t xml:space="preserve">Regular staff privacy training (quarterly)</w:t>
      </w:r>
    </w:p>
    <w:p>
      <w:pPr>
        <w:pStyle w:val="ListParagraph"/>
        <w:numPr>
          <w:ilvl w:val="0"/>
          <w:numId w:val="2"/>
        </w:numPr>
      </w:pPr>
      <w:r>
        <w:t xml:space="preserve">Vendor due diligence and data processing agreements</w:t>
      </w:r>
    </w:p>
    <w:p>
      <w:pPr>
        <w:pStyle w:val="ListParagraph"/>
        <w:numPr>
          <w:ilvl w:val="0"/>
          <w:numId w:val="2"/>
        </w:numPr>
      </w:pPr>
      <w:r>
        <w:t xml:space="preserve">Incident response plan with defined escalation procedures</w:t>
      </w:r>
    </w:p>
    <w:p>
      <w:pPr>
        <w:pStyle w:val="ListParagraph"/>
        <w:numPr>
          <w:ilvl w:val="0"/>
          <w:numId w:val="2"/>
        </w:numPr>
      </w:pPr>
      <w:r>
        <w:t xml:space="preserve">Annual independent privacy audits</w:t>
      </w:r>
    </w:p>
    <w:p>
      <w:pPr>
        <w:spacing w:after="200"/>
      </w:pPr>
    </w:p>
    <w:p>
      <w:pPr>
        <w:pStyle w:val="Heading2"/>
        <w:spacing w:after="100"/>
      </w:pPr>
      <w:r>
        <w:t xml:space="preserve">5.3 User Rights Implementation</w:t>
      </w:r>
    </w:p>
    <w:p>
      <w:pPr>
        <w:pStyle w:val="ListParagraph"/>
        <w:numPr>
          <w:ilvl w:val="0"/>
          <w:numId w:val="2"/>
        </w:numPr>
      </w:pPr>
      <w:r>
        <w:t xml:space="preserve">Right of Access: Self-service portal for data download (FHIR, CSV formats)</w:t>
      </w:r>
    </w:p>
    <w:p>
      <w:pPr>
        <w:pStyle w:val="ListParagraph"/>
        <w:numPr>
          <w:ilvl w:val="0"/>
          <w:numId w:val="2"/>
        </w:numPr>
      </w:pPr>
      <w:r>
        <w:t xml:space="preserve">Right to Rectification: Patient data correction interface</w:t>
      </w:r>
    </w:p>
    <w:p>
      <w:pPr>
        <w:pStyle w:val="ListParagraph"/>
        <w:numPr>
          <w:ilvl w:val="0"/>
          <w:numId w:val="2"/>
        </w:numPr>
      </w:pPr>
      <w:r>
        <w:t xml:space="preserve">Right to Erasure: Automated deletion workflow (45-day completion)</w:t>
      </w:r>
    </w:p>
    <w:p>
      <w:pPr>
        <w:pStyle w:val="ListParagraph"/>
        <w:numPr>
          <w:ilvl w:val="0"/>
          <w:numId w:val="2"/>
        </w:numPr>
      </w:pPr>
      <w:r>
        <w:t xml:space="preserve">Right to Data Portability: Standard export formats supporting migration</w:t>
      </w:r>
    </w:p>
    <w:p>
      <w:pPr>
        <w:pStyle w:val="ListParagraph"/>
        <w:numPr>
          <w:ilvl w:val="0"/>
          <w:numId w:val="2"/>
        </w:numPr>
      </w:pPr>
      <w:r>
        <w:t xml:space="preserve">Right to Object: Opt-out mechanisms for automated decision-making</w:t>
      </w:r>
    </w:p>
    <w:p>
      <w:pPr>
        <w:pStyle w:val="ListParagraph"/>
        <w:numPr>
          <w:ilvl w:val="0"/>
          <w:numId w:val="2"/>
        </w:numPr>
      </w:pPr>
      <w:r>
        <w:t xml:space="preserve">Right to Explanation: Explainable AI dashboard with SHAP/LIME</w:t>
      </w:r>
    </w:p>
    <w:p>
      <w:pPr>
        <w:spacing w:after="200"/>
      </w:pPr>
    </w:p>
    <w:p>
      <w:pPr>
        <w:pStyle w:val="Heading1"/>
        <w:spacing w:after="200"/>
      </w:pPr>
      <w:r>
        <w:t xml:space="preserve">6. Consultation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Consultation Outcome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Protection Officer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Reviewed and approved mitigation measures. Recommends annual DPIA review.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Clinical Advisory Board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Confirmed clinical utility justifies privacy risks. Endorses human review process.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 Representatives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Requested simplified consent forms and enhanced transparency dashboard.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 Security Team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Validated technical controls. Recommends quarterly penetration testing.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Legal Counsel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Confirmed GDPR/HIPAA compliance. Flagged need for updated DPAs.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7. Conclusion and Recommendations</w:t>
      </w:r>
    </w:p>
    <w:p>
      <w:pPr>
        <w:pStyle w:val="Heading2"/>
        <w:spacing w:after="100"/>
      </w:pPr>
      <w:r>
        <w:t xml:space="preserve">7.1 DPIA Outcome</w:t>
      </w:r>
    </w:p>
    <w:p>
      <w:pPr>
        <w:spacing w:after="200"/>
      </w:pPr>
      <w:r>
        <w:rPr>
          <w:b/>
          <w:bCs/>
        </w:rPr>
        <w:t xml:space="preserve">Decision: </w:t>
      </w:r>
      <w:r>
        <w:t xml:space="preserve">Processing may proceed subject to implementation of identified mitigation measures. Residual risks reduced to acceptable levels through comprehensive privacy controls.</w:t>
      </w:r>
    </w:p>
    <w:p>
      <w:pPr>
        <w:pStyle w:val="Heading2"/>
        <w:spacing w:after="100"/>
      </w:pPr>
      <w:r>
        <w:t xml:space="preserve">7.2 Key Recommendations</w:t>
      </w:r>
    </w:p>
    <w:p>
      <w:pPr>
        <w:pStyle w:val="ListParagraph"/>
        <w:numPr>
          <w:ilvl w:val="0"/>
          <w:numId w:val="2"/>
        </w:numPr>
      </w:pPr>
      <w:r>
        <w:t xml:space="preserve">Complete Business Associate Agreements with all third-party processors before launch</w:t>
      </w:r>
    </w:p>
    <w:p>
      <w:pPr>
        <w:pStyle w:val="ListParagraph"/>
        <w:numPr>
          <w:ilvl w:val="0"/>
          <w:numId w:val="2"/>
        </w:numPr>
      </w:pPr>
      <w:r>
        <w:t xml:space="preserve">Conduct algorithmic fairness testing across demographic groups</w:t>
      </w:r>
    </w:p>
    <w:p>
      <w:pPr>
        <w:pStyle w:val="ListParagraph"/>
        <w:numPr>
          <w:ilvl w:val="0"/>
          <w:numId w:val="2"/>
        </w:numPr>
      </w:pPr>
      <w:r>
        <w:t xml:space="preserve">Implement federated learning to reduce centralized data storage (Q2 2027)</w:t>
      </w:r>
    </w:p>
    <w:p>
      <w:pPr>
        <w:pStyle w:val="ListParagraph"/>
        <w:numPr>
          <w:ilvl w:val="0"/>
          <w:numId w:val="2"/>
        </w:numPr>
      </w:pPr>
      <w:r>
        <w:t xml:space="preserve">Establish AI ethics review board for ongoing governance</w:t>
      </w:r>
    </w:p>
    <w:p>
      <w:pPr>
        <w:pStyle w:val="ListParagraph"/>
        <w:numPr>
          <w:ilvl w:val="0"/>
          <w:numId w:val="2"/>
        </w:numPr>
      </w:pPr>
      <w:r>
        <w:t xml:space="preserve">Review DPIA annually and upon any significant system changes</w:t>
      </w:r>
    </w:p>
    <w:p>
      <w:pPr>
        <w:spacing w:after="200"/>
      </w:pPr>
    </w:p>
    <w:p>
      <w:pPr>
        <w:pStyle w:val="Heading2"/>
        <w:spacing w:after="100"/>
      </w:pPr>
      <w:r>
        <w:t xml:space="preserve">7.3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Protection Officer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Chief Technology Officer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Chief Medical Officer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sz w:val="20"/>
        <w:szCs w:val="20"/>
      </w:rPr>
      <w:t xml:space="preserve">Appendix A: Data Protection Impact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2026-04-30T13:45:02.717Z</dcterms:created>
  <dcterms:modified xsi:type="dcterms:W3CDTF">2026-04-30T13:45:02.717Z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