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30920"/>
          <w:sz w:val="52"/>
        </w:rPr>
        <w:t>Ovation Invoicing</w:t>
      </w:r>
    </w:p>
    <w:p>
      <w:r>
        <w:rPr>
          <w:color w:val="666666"/>
          <w:sz w:val="26"/>
        </w:rPr>
        <w:t>Business Requirements Document</w:t>
      </w:r>
    </w:p>
    <w:p>
      <w:r>
        <w:rPr>
          <w:color w:val="666666"/>
          <w:sz w:val="18"/>
        </w:rPr>
        <w:t>Internal invoice automation for managed-services delivery  ·  2026-06-17</w:t>
      </w:r>
    </w:p>
    <w:p>
      <w:r>
        <w:rPr>
          <w:i/>
          <w:color w:val="666666"/>
          <w:sz w:val="18"/>
        </w:rPr>
        <w:t>Status legend:  Built &amp; in use  |  Built, not yet switched on  |  Planned (roadmap)</w:t>
      </w:r>
    </w:p>
    <w:p>
      <w:pPr>
        <w:spacing w:after="120" w:before="200"/>
      </w:pPr>
      <w:r>
        <w:rPr>
          <w:b/>
          <w:color w:val="B30920"/>
          <w:sz w:val="32"/>
        </w:rPr>
        <w:t>1. Purpose &amp; scope</w:t>
      </w:r>
    </w:p>
    <w:p>
      <w:r>
        <w:rPr>
          <w:i w:val="0"/>
          <w:color w:val="1A1A1A"/>
          <w:sz w:val="21"/>
        </w:rPr>
        <w:t>Ovation delivers technicians to client organisations (HCL, Cognizant, TCS, Wipro, ...) under several commercial models. Each month the team turns technician time and dispatch visits into accurate, client-ready invoices - work that used to live in nine hand-maintained Excel files.</w:t>
      </w:r>
    </w:p>
    <w:p>
      <w:r>
        <w:rPr>
          <w:i w:val="0"/>
          <w:color w:val="1A1A1A"/>
          <w:sz w:val="21"/>
        </w:rPr>
        <w:t>Ovation Invoicing holds the clients, their commercial rate sheets, the technicians and their assignments; captures the monthly timesheets and dispatch visits; and generates the client invoice on demand in each client's expected format (FSO for HCL, Pre-Invoice for everyone else). This document describes the end-to-end operating workflow, the role-based access model, the approval-by-email workflow, and the near-term roadmap (Microsoft-native hosting + Microsoft Graph email).</w:t>
      </w:r>
    </w:p>
    <w:p>
      <w:pPr>
        <w:spacing w:after="120" w:before="200"/>
      </w:pPr>
      <w:r>
        <w:rPr>
          <w:b/>
          <w:color w:val="B30920"/>
          <w:sz w:val="32"/>
        </w:rPr>
        <w:t>2. Roles &amp; access model</w:t>
      </w:r>
    </w:p>
    <w:p>
      <w:r>
        <w:rPr>
          <w:i w:val="0"/>
          <w:color w:val="1A1A1A"/>
          <w:sz w:val="21"/>
        </w:rPr>
        <w:t>Access is gated by Microsoft Entra ID sign-in, restricted to @ovationwps.com accounts. Capabilities depend on role; data visibility is row-level by account ownership.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Who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Can see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Can 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Operations / finance owners (allowlist)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All clients &amp; accounts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Everything: clients, accounts, rate cards, technicians, masters, users; generate AND approve invoices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SDM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Service Delivery Managers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Only their own accounts (account SDM email = sign-in email)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Enter timesheets, log dispatch, generate invoices for their accounts, submit invoices for approval. Cannot edit rate cards / clients / masters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Approver (planned)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Admin / Finance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Items routed to them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Approve or reject a prepared invoice before it reaches the client</w:t>
            </w:r>
          </w:p>
        </w:tc>
      </w:tr>
    </w:tbl>
    <w:p/>
    <w:p>
      <w:pPr>
        <w:pStyle w:val="ListBullet"/>
      </w:pPr>
      <w:r>
        <w:rPr>
          <w:sz w:val="21"/>
        </w:rPr>
        <w:t>Domain gate: only @ovationwps.com identities can sign in; everything else is rejected.</w:t>
      </w:r>
    </w:p>
    <w:p>
      <w:pPr>
        <w:pStyle w:val="ListBullet"/>
      </w:pPr>
      <w:r>
        <w:rPr>
          <w:sz w:val="21"/>
        </w:rPr>
        <w:t>Row-level scoping: an SDM sees an account only when its SDM email matches theirs; admin areas are hidden and blocked server-side.</w:t>
      </w:r>
    </w:p>
    <w:p>
      <w:pPr>
        <w:pStyle w:val="ListBullet"/>
      </w:pPr>
      <w:r>
        <w:rPr>
          <w:sz w:val="21"/>
        </w:rPr>
        <w:t>Every account has an owning SDM (name + @ovationwps.com email + phone); accounts without one are admin-only until assigned.</w:t>
      </w:r>
    </w:p>
    <w:p>
      <w:pPr>
        <w:spacing w:after="120" w:before="200"/>
      </w:pPr>
      <w:r>
        <w:rPr>
          <w:b/>
          <w:color w:val="B30920"/>
          <w:sz w:val="32"/>
        </w:rPr>
        <w:t>3. End-to-end process workflow</w:t>
      </w:r>
    </w:p>
    <w:p>
      <w:r>
        <w:rPr>
          <w:i w:val="0"/>
          <w:color w:val="1A1A1A"/>
          <w:sz w:val="21"/>
        </w:rPr>
        <w:t>Steps 1-8 are built and in use; the approval and email steps (9-10) are the planned target state.</w:t>
      </w:r>
    </w:p>
    <w:p>
      <w:pPr>
        <w:spacing w:after="40" w:before="160"/>
      </w:pPr>
      <w:r>
        <w:rPr>
          <w:b/>
          <w:color w:val="1A1A1A"/>
          <w:sz w:val="23"/>
        </w:rPr>
        <w:t>Step 1 - Onboard a client (Org)</w:t>
      </w:r>
    </w:p>
    <w:p>
      <w:r>
        <w:rPr>
          <w:i w:val="0"/>
          <w:color w:val="1A1A1A"/>
          <w:sz w:val="21"/>
        </w:rPr>
        <w:t>An Admin creates the Client record (HCL, TCS, ...) with its output template (FSO for HCL; Pre-Invoice otherwise), default currency, and bill-to / remittance block.</w:t>
      </w:r>
    </w:p>
    <w:p>
      <w:pPr>
        <w:spacing w:after="40" w:before="160"/>
      </w:pPr>
      <w:r>
        <w:rPr>
          <w:b/>
          <w:color w:val="1A1A1A"/>
          <w:sz w:val="23"/>
        </w:rPr>
        <w:t>Step 2 - Add an account under the client</w:t>
      </w:r>
    </w:p>
    <w:p>
      <w:r>
        <w:rPr>
          <w:i w:val="0"/>
          <w:color w:val="1A1A1A"/>
          <w:sz w:val="21"/>
        </w:rPr>
        <w:t>An Admin creates the Account (the billing unit) and assigns its SDM owner (name, @ovationwps.com email, phone), client POC, billing address, currency, and dispatch settings.</w:t>
      </w:r>
    </w:p>
    <w:p>
      <w:pPr>
        <w:spacing w:after="40" w:before="160"/>
      </w:pPr>
      <w:r>
        <w:rPr>
          <w:b/>
          <w:color w:val="1A1A1A"/>
          <w:sz w:val="23"/>
        </w:rPr>
        <w:t>Step 3 - Set the rate sheet</w:t>
      </w:r>
    </w:p>
    <w:p>
      <w:r>
        <w:rPr>
          <w:i w:val="0"/>
          <w:color w:val="1A1A1A"/>
          <w:sz w:val="21"/>
        </w:rPr>
        <w:t>An Admin fills the rate matrix across rate category x band (0-4) x SLA x sub-category, plus misc fees (retainer, mileage, BGV, per diem, PM %). Rates fill in over time as commercials are agreed.</w:t>
      </w:r>
    </w:p>
    <w:p>
      <w:pPr>
        <w:spacing w:after="40" w:before="160"/>
      </w:pPr>
      <w:r>
        <w:rPr>
          <w:b/>
          <w:color w:val="1A1A1A"/>
          <w:sz w:val="23"/>
        </w:rPr>
        <w:t>Step 4 - Add technicians</w:t>
      </w:r>
    </w:p>
    <w:p>
      <w:r>
        <w:rPr>
          <w:i w:val="0"/>
          <w:color w:val="1A1A1A"/>
          <w:sz w:val="21"/>
        </w:rPr>
        <w:t>An Admin adds technicians (name, employer, band, primary category, contact, employment start date, location). Rebadged techs can carry their own rates.</w:t>
      </w:r>
    </w:p>
    <w:p>
      <w:pPr>
        <w:spacing w:after="40" w:before="160"/>
      </w:pPr>
      <w:r>
        <w:rPr>
          <w:b/>
          <w:color w:val="1A1A1A"/>
          <w:sz w:val="23"/>
        </w:rPr>
        <w:t>Step 5 - Assign a technician to the account</w:t>
      </w:r>
    </w:p>
    <w:p>
      <w:r>
        <w:rPr>
          <w:i w:val="0"/>
          <w:color w:val="1A1A1A"/>
          <w:sz w:val="21"/>
        </w:rPr>
        <w:t>An Admin creates an Assignment (technician x account x category) with start (+ optional end) date. It inherits the account's rates at the tech's band and defines the active window the timesheet bills against.</w:t>
      </w:r>
    </w:p>
    <w:p>
      <w:pPr>
        <w:spacing w:after="40" w:before="160"/>
      </w:pPr>
      <w:r>
        <w:rPr>
          <w:b/>
          <w:color w:val="1A1A1A"/>
          <w:sz w:val="23"/>
        </w:rPr>
        <w:t>Step 6 - The monthly timesheet</w:t>
      </w:r>
    </w:p>
    <w:p>
      <w:r>
        <w:rPr>
          <w:i w:val="0"/>
          <w:color w:val="1A1A1A"/>
          <w:sz w:val="21"/>
        </w:rPr>
        <w:t>Each account+month produces a grid (one row per tech, one cell per day). An SDM enters hours / day-codes (PH, AB, PTO, HALF_DAY, NA); the grid autosaves. Dispatch visits are logged separately with in/out times.</w:t>
      </w:r>
    </w:p>
    <w:p>
      <w:pPr>
        <w:spacing w:after="40" w:before="160"/>
      </w:pPr>
      <w:r>
        <w:rPr>
          <w:b/>
          <w:color w:val="1A1A1A"/>
          <w:sz w:val="23"/>
        </w:rPr>
        <w:t>Step 7 - Edit / adjust the timesheet</w:t>
      </w:r>
    </w:p>
    <w:p>
      <w:r>
        <w:rPr>
          <w:i w:val="0"/>
          <w:color w:val="1A1A1A"/>
          <w:sz w:val="21"/>
        </w:rPr>
        <w:t>The SDM corrects cells, records coverage events, and clears exceptions (missing cells, unpriced rows, cancelled visits) flagged on the dashboard.</w:t>
      </w:r>
    </w:p>
    <w:p>
      <w:pPr>
        <w:spacing w:after="40" w:before="160"/>
      </w:pPr>
      <w:r>
        <w:rPr>
          <w:b/>
          <w:color w:val="1A1A1A"/>
          <w:sz w:val="23"/>
        </w:rPr>
        <w:t>Step 8 - Generate the invoice</w:t>
      </w:r>
    </w:p>
    <w:p>
      <w:r>
        <w:rPr>
          <w:i w:val="0"/>
          <w:color w:val="1A1A1A"/>
          <w:sz w:val="21"/>
        </w:rPr>
        <w:t>Pick (account, month); the engine resolves the client, selects the template, applies the rate sheet, and renders the workbook: Pre-Invoice/FSO + Timesheet + Rate Sheet + Remittance. Every run is logged.</w:t>
      </w:r>
    </w:p>
    <w:p>
      <w:pPr>
        <w:spacing w:after="40" w:before="160"/>
      </w:pPr>
      <w:r>
        <w:rPr>
          <w:b/>
          <w:color w:val="1A1A1A"/>
          <w:sz w:val="23"/>
        </w:rPr>
        <w:t>Step 9 - Approval by email (planned)</w:t>
      </w:r>
    </w:p>
    <w:p>
      <w:r>
        <w:rPr>
          <w:i w:val="0"/>
          <w:color w:val="1A1A1A"/>
          <w:sz w:val="21"/>
        </w:rPr>
        <w:t>The SDM submits the invoice; an approval-request email goes to the Approver; on approval the invoice is emailed to the client and marked Issued; on rejection it returns to the SDM with notes.</w:t>
      </w:r>
    </w:p>
    <w:p>
      <w:pPr>
        <w:spacing w:after="40" w:before="160"/>
      </w:pPr>
      <w:r>
        <w:rPr>
          <w:b/>
          <w:color w:val="1A1A1A"/>
          <w:sz w:val="23"/>
        </w:rPr>
        <w:t>Step 10 - Deliver, remind, alert (planned)</w:t>
      </w:r>
    </w:p>
    <w:p>
      <w:r>
        <w:rPr>
          <w:i w:val="0"/>
          <w:color w:val="1A1A1A"/>
          <w:sz w:val="21"/>
        </w:rPr>
        <w:t>Approved invoice emailed to the client from a real Ovation mailbox (recorded in Exchange); automated payment reminders until paid; scoped operational alert digests to SDMs and Admins.</w:t>
      </w:r>
    </w:p>
    <w:p>
      <w:pPr>
        <w:spacing w:after="120" w:before="200"/>
      </w:pPr>
      <w:r>
        <w:rPr>
          <w:b/>
          <w:color w:val="B30920"/>
          <w:sz w:val="32"/>
        </w:rPr>
        <w:t>4. Approval &amp; email workflow (planned)</w:t>
      </w:r>
    </w:p>
    <w:p>
      <w:r>
        <w:rPr>
          <w:i w:val="0"/>
          <w:color w:val="1A1A1A"/>
          <w:sz w:val="21"/>
        </w:rPr>
        <w:t>SDM generates invoice -&gt; Submit for approval -&gt; approval-request email to Approver -&gt; approve (invoice emailed to client, marked Issued) or reject (back to SDM with notes) -&gt; payment reminders until Paid.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Trigger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From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Recorded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Approval request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SDM submits invoice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Ovation mailbox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Approver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Exchange Sent Items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Approval decision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Approver approves/rejects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Ovation mailbox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SDM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Exchange Sent Items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Invoice delivery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Approval granted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Ovation mailbox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Client POC (cc SDM)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Sent Items + retention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Payment reminder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Due-date schedule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Ovation mailbox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Client POC (cc SDM)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Exchange Sent Items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Operational alert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Scheduled digest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Ovation mailbox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SDM (own) / Admin (all)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Exchange Sent Items</w:t>
            </w:r>
          </w:p>
        </w:tc>
      </w:tr>
    </w:tbl>
    <w:p/>
    <w:p>
      <w:r>
        <w:rPr>
          <w:i w:val="0"/>
          <w:color w:val="1A1A1A"/>
          <w:sz w:val="21"/>
        </w:rPr>
        <w:t>All email is sent via Microsoft Graph from a controlled shared mailbox (least-privilege, locked to that one mailbox) - no third-party mail vendor.</w:t>
      </w:r>
    </w:p>
    <w:p>
      <w:pPr>
        <w:spacing w:after="120" w:before="200"/>
      </w:pPr>
      <w:r>
        <w:rPr>
          <w:b/>
          <w:color w:val="B30920"/>
          <w:sz w:val="32"/>
        </w:rPr>
        <w:t>5. Billing model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Basis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Dedicated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Day-rate (annual/12/business-days-excl-PH) or hourly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 OT + weekend; Backfill vs No-Backfill tier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Dispatch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Per-visit first-hour + per-hour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Business / after-hours / weekend split; per-ticket flat; full-day cap; TCS 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Project / T&amp;M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Per-band day / half / weekend / hourly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 weekly/monthly + monthly cap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Scheduled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Per-band day / half / weekend / hourly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Scheduled visits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Misc fees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% on subtotal + flat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Retainer, mileage, BGV, per diem, toolkit</w:t>
            </w:r>
          </w:p>
        </w:tc>
      </w:tr>
    </w:tbl>
    <w:p/>
    <w:p>
      <w:r>
        <w:rPr>
          <w:i w:val="0"/>
          <w:color w:val="1A1A1A"/>
          <w:sz w:val="21"/>
        </w:rPr>
        <w:t>OT (overtime, quantity) is not OOB (out-of-business-hours, time-of-day). Public holidays reduce the business-day denominator (never billed as a worked day). PTO is paid to the technician but not charged to the client.</w:t>
      </w:r>
    </w:p>
    <w:p>
      <w:pPr>
        <w:spacing w:after="120" w:before="200"/>
      </w:pPr>
      <w:r>
        <w:rPr>
          <w:b/>
          <w:color w:val="B30920"/>
          <w:sz w:val="32"/>
        </w:rPr>
        <w:t>6.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Client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Template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Workbook contents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HCL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FSO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FSO category sheets (Dedicated / Project Work / Dispatch / SV) + Combined Pre-Invoice + Timesheet + Rate Sheet + Remittance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All others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Pre-Invoice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Pre-Invoice + Timesheet + Rate Sheet + Remittance</w:t>
            </w:r>
          </w:p>
        </w:tc>
      </w:tr>
    </w:tbl>
    <w:p/>
    <w:p>
      <w:pPr>
        <w:spacing w:after="120" w:before="200"/>
      </w:pPr>
      <w:r>
        <w:rPr>
          <w:b/>
          <w:color w:val="B30920"/>
          <w:sz w:val="32"/>
        </w:rPr>
        <w:t>7. Roadmap / future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Outcome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Entra sign-in + SDM scoping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@ovationwps.com-only access; SDMs see only their accounts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Built; pending go-live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Move hosting + DB into Azure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Zero non-Microsoft vendors; one security review/contract. Behavior-preserving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Planned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Microsoft Graph email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Invoices, approvals, reminders, alerts from a real Ovation mailbox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Planned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Invoice approval workflow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invoice reaches a client without sign-off; full audit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Planned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Payment status tracking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Issue/due dates + paid status drive reminders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Planned</w:t>
            </w:r>
          </w:p>
        </w:tc>
      </w:tr>
    </w:tbl>
    <w:p/>
    <w:p>
      <w:pPr>
        <w:spacing w:after="120" w:before="200"/>
      </w:pPr>
      <w:r>
        <w:rPr>
          <w:b/>
          <w:color w:val="B30920"/>
          <w:sz w:val="32"/>
        </w:rPr>
        <w:t>8. Assumptions &amp; constraints</w:t>
      </w:r>
    </w:p>
    <w:p>
      <w:pPr>
        <w:pStyle w:val="ListBullet"/>
      </w:pPr>
      <w:r>
        <w:rPr>
          <w:sz w:val="21"/>
        </w:rPr>
        <w:t>All users are Ovation staff with @ovationwps.com Microsoft accounts.</w:t>
      </w:r>
    </w:p>
    <w:p>
      <w:pPr>
        <w:pStyle w:val="ListBullet"/>
      </w:pPr>
      <w:r>
        <w:rPr>
          <w:sz w:val="21"/>
        </w:rPr>
        <w:t>USD at launch (multi-currency field exists for the future).</w:t>
      </w:r>
    </w:p>
    <w:p>
      <w:pPr>
        <w:pStyle w:val="ListBullet"/>
      </w:pPr>
      <w:r>
        <w:rPr>
          <w:sz w:val="21"/>
        </w:rPr>
        <w:t>Invoice generation is on-demand (no automatic generation).</w:t>
      </w:r>
    </w:p>
    <w:p>
      <w:pPr>
        <w:pStyle w:val="ListBullet"/>
      </w:pPr>
      <w:r>
        <w:rPr>
          <w:sz w:val="21"/>
        </w:rPr>
        <w:t>Email and approval routing send only from Ovation Microsoft mailboxes (no external mail vendors).</w:t>
      </w:r>
    </w:p>
    <w:p>
      <w:pPr>
        <w:pStyle w:val="ListBullet"/>
      </w:pPr>
      <w:r>
        <w:rPr>
          <w:sz w:val="21"/>
        </w:rPr>
        <w:t>Real client data is confidential and never leaves Ovation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