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30920"/>
          <w:sz w:val="48"/>
        </w:rPr>
        <w:t>Ovation Invoicing - Architecture Overview</w:t>
      </w:r>
    </w:p>
    <w:p>
      <w:r>
        <w:rPr>
          <w:color w:val="666666"/>
          <w:sz w:val="26"/>
        </w:rPr>
        <w:t>Proof of Concept -&gt; Production (Microsoft-native)</w:t>
      </w:r>
    </w:p>
    <w:p>
      <w:r>
        <w:rPr>
          <w:i w:val="0"/>
          <w:color w:val="666666"/>
          <w:sz w:val="18"/>
        </w:rPr>
        <w:t>Prepared by: Karan   |   2026-06-18</w:t>
      </w:r>
    </w:p>
    <w:p>
      <w:r>
        <w:rPr>
          <w:i w:val="0"/>
          <w:color w:val="1A1A1A"/>
          <w:sz w:val="21"/>
        </w:rPr>
        <w:t>Purpose: the architecture of the current proof of concept, the production target inside the Microsoft / Azure ecosystem, and a clear what-replaces-what mapping - for sign-off before the next phase.</w:t>
      </w:r>
    </w:p>
    <w:p>
      <w:pPr>
        <w:spacing w:before="240" w:after="100"/>
      </w:pPr>
      <w:r>
        <w:rPr>
          <w:b/>
          <w:color w:val="B30920"/>
          <w:sz w:val="30"/>
        </w:rPr>
        <w:t>1. Context</w:t>
      </w:r>
    </w:p>
    <w:p>
      <w:r>
        <w:rPr>
          <w:i w:val="0"/>
          <w:color w:val="1A1A1A"/>
          <w:sz w:val="21"/>
        </w:rPr>
        <w:t>The current build is a proof of concept, approved in our architecture call to validate the billing and invoice-generation logic before committing to the production setup. That objective is met: the engine produces accurate, client-ready invoices (FSO for HCL, Pre-Invoice for others).</w:t>
      </w:r>
    </w:p>
    <w:p>
      <w:r>
        <w:rPr>
          <w:i w:val="0"/>
          <w:color w:val="1A1A1A"/>
          <w:sz w:val="21"/>
        </w:rPr>
        <w:t>The PoC was built deliberately on portable, industry-standard technology with no proprietary lock-in, so moving to a fully Microsoft-native production architecture is a hosting and configuration change, not a rebuild. Identity has been on Microsoft Entra ID from the start.</w:t>
      </w:r>
    </w:p>
    <w:p>
      <w:pPr>
        <w:spacing w:before="240" w:after="100"/>
      </w:pPr>
      <w:r>
        <w:rPr>
          <w:b/>
          <w:color w:val="B30920"/>
          <w:sz w:val="30"/>
        </w:rPr>
        <w:t>2. Current architecture (Proof of Concept)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Next.js 15 (TypeScript)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Standard framework; no platform-proprietary features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Hosting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Vercel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PoC hosting for fast iteration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PostgreSQL on Neon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Standard PostgreSQL; no proprietary extensions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Identity / sign-in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Microsoft Entra ID (@ovationwps.com only)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Already in our tenant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Invoice output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ExcelJS (in-app)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Generates the .xlsx; downloaded manually today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Geocoding (minor)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Local postal-code table + public API fallback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Fallback only when not in local table</w:t>
            </w:r>
          </w:p>
        </w:tc>
      </w:tr>
    </w:tbl>
    <w:p/>
    <w:p>
      <w:r>
        <w:rPr>
          <w:i w:val="0"/>
          <w:color w:val="1A1A1A"/>
          <w:sz w:val="21"/>
        </w:rPr>
        <w:t>Email: none today - invoices are generated and sent manually (automated delivery was not in PoC scope).</w:t>
      </w:r>
    </w:p>
    <w:p>
      <w:pPr>
        <w:spacing w:before="240" w:after="100"/>
      </w:pPr>
      <w:r>
        <w:rPr>
          <w:b/>
          <w:color w:val="B30920"/>
          <w:sz w:val="30"/>
        </w:rPr>
        <w:t>3. Production target (Microsoft-native)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Outcome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Next.js 15 (unchanged)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Same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Hosting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Azure App Service (Linux, Node)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 runs inside the tenant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Azure Database for PostgreSQL (Flexible Server)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Same engine; data inside Microsoft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Identity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Microsoft Entra ID (unchanged)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Secrets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Azure Key Vault + App Service config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Governed in the tenant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Microsoft Graph from an Ovation mailbox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Invoices / reminders / alerts from our address, recorded in Exchange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Geocoding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Azure Maps or local table only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Removes the last external call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CI/CD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GitHub Actions -&gt; Azure (OIDC) or Azure DevOps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Microsoft toolchain</w:t>
            </w:r>
          </w:p>
        </w:tc>
      </w:tr>
    </w:tbl>
    <w:p/>
    <w:p>
      <w:r>
        <w:rPr>
          <w:i w:val="0"/>
          <w:color w:val="1A1A1A"/>
          <w:sz w:val="21"/>
        </w:rPr>
        <w:t>Result: zero non-Microsoft infrastructure vendors - one tenant, one security review, one contract.</w:t>
      </w:r>
    </w:p>
    <w:p>
      <w:pPr>
        <w:spacing w:before="240" w:after="100"/>
      </w:pPr>
      <w:r>
        <w:rPr>
          <w:b/>
          <w:color w:val="B30920"/>
          <w:sz w:val="30"/>
        </w:rPr>
        <w:t>4. What replaces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Current (PoC)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Production (Microsoft)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Change 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Vercel (hosting)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Azure App Service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Re-host (no code rewrite)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Neon (PostgreSQL, on AWS)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Azure Database for PostgreSQL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Connection-string + data copy (same engine)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Vercel environment variables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Azure Key Vault + App Service config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Config move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(no email)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Microsoft Graph from Ovation mailbox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New capability, inside the tenant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Public geocoding API (fallback)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Azure Maps / local table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Remove external dependency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Microsoft Entra 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Microsoft Entra 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change - already Microsoft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GitHub deploys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GitHub Actions -&gt; Azure (OIDC)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Pipeline move</w:t>
            </w:r>
          </w:p>
        </w:tc>
      </w:tr>
    </w:tbl>
    <w:p/>
    <w:p>
      <w:pPr>
        <w:spacing w:before="240" w:after="100"/>
      </w:pPr>
      <w:r>
        <w:rPr>
          <w:b/>
          <w:color w:val="B30920"/>
          <w:sz w:val="30"/>
        </w:rPr>
        <w:t>5. What stays exactly the same</w:t>
      </w:r>
    </w:p>
    <w:p>
      <w:pPr>
        <w:pStyle w:val="ListBullet"/>
      </w:pPr>
      <w:r>
        <w:rPr>
          <w:sz w:val="21"/>
        </w:rPr>
        <w:t>The application code and the billing / invoice-generation logic (built and validated).</w:t>
      </w:r>
    </w:p>
    <w:p>
      <w:pPr>
        <w:pStyle w:val="ListBullet"/>
      </w:pPr>
      <w:r>
        <w:rPr>
          <w:sz w:val="21"/>
        </w:rPr>
        <w:t>PostgreSQL as the database engine (Neon and Azure are the same engine).</w:t>
      </w:r>
    </w:p>
    <w:p>
      <w:pPr>
        <w:pStyle w:val="ListBullet"/>
      </w:pPr>
      <w:r>
        <w:rPr>
          <w:sz w:val="21"/>
        </w:rPr>
        <w:t>Microsoft Entra ID identity and the @ovationwps.com access gate.</w:t>
      </w:r>
    </w:p>
    <w:p>
      <w:pPr>
        <w:pStyle w:val="ListBullet"/>
      </w:pPr>
      <w:r>
        <w:rPr>
          <w:sz w:val="21"/>
        </w:rPr>
        <w:t>The data model and all existing features.</w:t>
      </w:r>
    </w:p>
    <w:p>
      <w:r>
        <w:rPr>
          <w:i w:val="0"/>
          <w:color w:val="1A1A1A"/>
          <w:sz w:val="21"/>
        </w:rPr>
        <w:t>Because of this, the migration is behavior-preserving - the app works identically; only where it runs and where the data lives change.</w:t>
      </w:r>
    </w:p>
    <w:p>
      <w:pPr>
        <w:spacing w:before="240" w:after="100"/>
      </w:pPr>
      <w:r>
        <w:rPr>
          <w:b/>
          <w:color w:val="B30920"/>
          <w:sz w:val="30"/>
        </w:rPr>
        <w:t>6. Compliance posture (ISO 27001)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Concern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Production 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Data residency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All data inside Azure / the Microsoft tenant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Sub-processors / vendor review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Single vendor (Microsoft) under existing agreements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Access control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Microsoft Entra ID, @ovationwps.com only, role-based (Admin / SDM)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Secrets management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Azure Key Vault, managed identity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Email records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Microsoft Graph from a real mailbox -&gt; Exchange Sent Items + retention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Auditability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Entra sign-in; invoice runs and email sends logged</w:t>
            </w:r>
          </w:p>
        </w:tc>
      </w:tr>
    </w:tbl>
    <w:p/>
    <w:p>
      <w:pPr>
        <w:spacing w:before="240" w:after="100"/>
      </w:pPr>
      <w:r>
        <w:rPr>
          <w:b/>
          <w:color w:val="B30920"/>
          <w:sz w:val="30"/>
        </w:rPr>
        <w:t>7. Migration approach &amp; status</w:t>
      </w:r>
    </w:p>
    <w:p>
      <w:pPr>
        <w:pStyle w:val="ListBullet"/>
      </w:pPr>
      <w:r>
        <w:rPr>
          <w:sz w:val="21"/>
        </w:rPr>
        <w:t>Effort: contained. The only application code change is one build setting; the rest is hosting, configuration, a one-time data copy, and pipeline setup.</w:t>
      </w:r>
    </w:p>
    <w:p>
      <w:pPr>
        <w:pStyle w:val="ListBullet"/>
      </w:pPr>
      <w:r>
        <w:rPr>
          <w:sz w:val="21"/>
        </w:rPr>
        <w:t>Risk: low - behavior-preserving, PostgreSQL to PostgreSQL, with the PoC kept live as a fallback during cutover.</w:t>
      </w:r>
    </w:p>
    <w:p>
      <w:pPr>
        <w:pStyle w:val="ListBullet"/>
      </w:pPr>
      <w:r>
        <w:rPr>
          <w:sz w:val="21"/>
        </w:rPr>
        <w:t>Status: architecture mapped and ready; awaiting sign-off on the production design and compliance approach before execution.</w:t>
      </w:r>
    </w:p>
    <w:p>
      <w:pPr>
        <w:spacing w:before="240" w:after="100"/>
      </w:pPr>
      <w:r>
        <w:rPr>
          <w:b/>
          <w:color w:val="B30920"/>
          <w:sz w:val="30"/>
        </w:rPr>
        <w:t>8. Proposed next step</w:t>
      </w:r>
    </w:p>
    <w:p>
      <w:r>
        <w:rPr>
          <w:i w:val="0"/>
          <w:color w:val="1A1A1A"/>
          <w:sz w:val="21"/>
        </w:rPr>
        <w:t>A short working session (Karan + KD + Amit) to confirm the production architecture above, agree the ISO 27001 compliance approach, and set clear sign-off checkpoints for the production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