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5E14" w14:textId="77777777" w:rsidR="00F3776B" w:rsidRDefault="00000000">
      <w:pPr>
        <w:spacing w:before="280" w:after="100"/>
      </w:pPr>
      <w:r>
        <w:rPr>
          <w:b/>
          <w:color w:val="B30920"/>
          <w:sz w:val="40"/>
        </w:rPr>
        <w:t>Ovation Invoicing — Business Requirements &amp; Architecture</w:t>
      </w:r>
    </w:p>
    <w:p w14:paraId="77CA07A5" w14:textId="77777777" w:rsidR="00F3776B" w:rsidRDefault="00000000">
      <w:r>
        <w:rPr>
          <w:i/>
        </w:rPr>
        <w:t>Part 1 — Business Requirements  ·  Part 2 — Architecture (Proof of Concept → Production)</w:t>
      </w:r>
    </w:p>
    <w:p w14:paraId="1C9431BD" w14:textId="77777777" w:rsidR="00F3776B" w:rsidRDefault="00000000">
      <w:r>
        <w:rPr>
          <w:color w:val="CCCCCC"/>
        </w:rPr>
        <w:t>____________________________________________________________</w:t>
      </w:r>
    </w:p>
    <w:p w14:paraId="7C44EF9B" w14:textId="77777777" w:rsidR="00F3776B" w:rsidRDefault="00000000">
      <w:pPr>
        <w:spacing w:before="280" w:after="100"/>
      </w:pPr>
      <w:r>
        <w:rPr>
          <w:b/>
          <w:color w:val="B30920"/>
          <w:sz w:val="40"/>
        </w:rPr>
        <w:t>Part 1 — Business Requirements</w:t>
      </w:r>
    </w:p>
    <w:p w14:paraId="12A2504D" w14:textId="77777777" w:rsidR="00F3776B" w:rsidRDefault="00000000">
      <w:r>
        <w:rPr>
          <w:color w:val="CCCCCC"/>
        </w:rPr>
        <w:t>____________________________________________________________</w:t>
      </w:r>
    </w:p>
    <w:p w14:paraId="77EF583C" w14:textId="77777777" w:rsidR="00F3776B" w:rsidRDefault="00000000">
      <w:pPr>
        <w:spacing w:before="280" w:after="100"/>
      </w:pPr>
      <w:r>
        <w:rPr>
          <w:b/>
          <w:color w:val="B30920"/>
          <w:sz w:val="30"/>
        </w:rPr>
        <w:t>1. Purpose &amp; scope</w:t>
      </w:r>
    </w:p>
    <w:p w14:paraId="3418F3D4" w14:textId="77777777" w:rsidR="00F3776B" w:rsidRDefault="00000000">
      <w:r>
        <w:t>Ovation delivers technicians to client organisations (HCL, Cognizant, TCS, Wipro, …) under several</w:t>
      </w:r>
    </w:p>
    <w:p w14:paraId="3C4ED393" w14:textId="77777777" w:rsidR="00F3776B" w:rsidRDefault="00000000">
      <w:r>
        <w:t>commercial models. Each month the team must turn technician time and dispatch visits into accurate,</w:t>
      </w:r>
    </w:p>
    <w:p w14:paraId="371773C9" w14:textId="77777777" w:rsidR="00F3776B" w:rsidRDefault="00000000">
      <w:r>
        <w:t>client-ready invoices. Historically this was nine hand-maintained Excel files.</w:t>
      </w:r>
    </w:p>
    <w:p w14:paraId="19C1C781" w14:textId="77777777" w:rsidR="00F3776B" w:rsidRDefault="00000000">
      <w:r>
        <w:t>Ovation Invoicing replaces that manual work: it holds the clients, their commercial rate sheets, the</w:t>
      </w:r>
    </w:p>
    <w:p w14:paraId="3A0F5F67" w14:textId="77777777" w:rsidR="00F3776B" w:rsidRDefault="00000000">
      <w:r>
        <w:t>technicians and their assignments, captures the monthly timesheets and dispatch visits, and **generates the</w:t>
      </w:r>
    </w:p>
    <w:p w14:paraId="7ACBCD74" w14:textId="77777777" w:rsidR="00F3776B" w:rsidRDefault="00000000">
      <w:r>
        <w:t>client invoice on demand** in the exact format each client expects (FSO for HCL, Pre-Invoice for everyone</w:t>
      </w:r>
    </w:p>
    <w:p w14:paraId="7795CF93" w14:textId="77777777" w:rsidR="00F3776B" w:rsidRDefault="00000000">
      <w:r>
        <w:t>else).</w:t>
      </w:r>
    </w:p>
    <w:p w14:paraId="0FA340BE" w14:textId="07CC5CB4" w:rsidR="00F3776B" w:rsidRDefault="00000000">
      <w:r>
        <w:t xml:space="preserve">This document describes </w:t>
      </w:r>
      <w:r>
        <w:rPr>
          <w:b/>
        </w:rPr>
        <w:t>how the system works end to end</w:t>
      </w:r>
      <w:r>
        <w:t xml:space="preserve"> — the operating workflow from onboarding a</w:t>
      </w:r>
      <w:r w:rsidR="00C953DF">
        <w:t xml:space="preserve"> </w:t>
      </w:r>
      <w:r>
        <w:t xml:space="preserve">client through to a delivered, approved invoice — the </w:t>
      </w:r>
      <w:r>
        <w:rPr>
          <w:b/>
        </w:rPr>
        <w:t>role-based access model</w:t>
      </w:r>
      <w:r>
        <w:t>, the **approval-by-email</w:t>
      </w:r>
      <w:r w:rsidR="00C953DF">
        <w:t xml:space="preserve"> </w:t>
      </w:r>
      <w:r>
        <w:t>workflow**, and the near-term roadmap (Microsoft-native hosting + Microsoft Graph email).</w:t>
      </w:r>
    </w:p>
    <w:p w14:paraId="04F77D83" w14:textId="341C97BA" w:rsidR="00F3776B" w:rsidRDefault="00C953DF">
      <w:pPr>
        <w:spacing w:before="280" w:after="100"/>
      </w:pPr>
      <w:r>
        <w:rPr>
          <w:b/>
          <w:color w:val="B30920"/>
          <w:sz w:val="30"/>
        </w:rPr>
        <w:t>2</w:t>
      </w:r>
      <w:r w:rsidR="00000000">
        <w:rPr>
          <w:b/>
          <w:color w:val="B30920"/>
          <w:sz w:val="30"/>
        </w:rPr>
        <w:t>. End-to-end process workflow</w:t>
      </w:r>
    </w:p>
    <w:p w14:paraId="2596BED1" w14:textId="77777777" w:rsidR="00F3776B" w:rsidRDefault="00000000">
      <w:r>
        <w:t xml:space="preserve">The operating pipeline, in order. Steps 1–8 are </w:t>
      </w:r>
      <w:r>
        <w:rPr>
          <w:b/>
        </w:rPr>
        <w:t>built and in use</w:t>
      </w:r>
      <w:r>
        <w:t>; the approval and email steps (9–10)</w:t>
      </w:r>
    </w:p>
    <w:p w14:paraId="2323228E" w14:textId="77777777" w:rsidR="00F3776B" w:rsidRDefault="00000000">
      <w:r>
        <w:t>are the planned target state.</w:t>
      </w:r>
    </w:p>
    <w:p w14:paraId="15F17822" w14:textId="77777777" w:rsidR="00F3776B" w:rsidRDefault="00000000">
      <w:pPr>
        <w:spacing w:before="160" w:after="100"/>
      </w:pPr>
      <w:r>
        <w:rPr>
          <w:b/>
          <w:sz w:val="25"/>
        </w:rPr>
        <w:t>Step 1 — Onboard a client (Org) ✅</w:t>
      </w:r>
    </w:p>
    <w:p w14:paraId="6B9A5BF5" w14:textId="77777777" w:rsidR="00F3776B" w:rsidRDefault="00000000">
      <w:r>
        <w:t xml:space="preserve">An Admin creates the </w:t>
      </w:r>
      <w:r>
        <w:rPr>
          <w:b/>
        </w:rPr>
        <w:t>Client</w:t>
      </w:r>
      <w:r>
        <w:t xml:space="preserve"> record (e.g. HCL, TCS). The client carries its </w:t>
      </w:r>
      <w:r>
        <w:rPr>
          <w:b/>
        </w:rPr>
        <w:t>output template</w:t>
      </w:r>
    </w:p>
    <w:p w14:paraId="1BC6BB45" w14:textId="77777777" w:rsidR="00F3776B" w:rsidRDefault="00000000">
      <w:r>
        <w:t>(FSO for HCL; Pre-Invoice for all others), default currency, and the bill-to / remittance block shown on</w:t>
      </w:r>
    </w:p>
    <w:p w14:paraId="320B03E2" w14:textId="77777777" w:rsidR="00F3776B" w:rsidRDefault="00000000">
      <w:r>
        <w:lastRenderedPageBreak/>
        <w:t>generated invoices.</w:t>
      </w:r>
    </w:p>
    <w:p w14:paraId="6BA0C952" w14:textId="77777777" w:rsidR="00F3776B" w:rsidRDefault="00000000">
      <w:r>
        <w:t xml:space="preserve">&gt; </w:t>
      </w:r>
      <w:r>
        <w:rPr>
          <w:i/>
        </w:rPr>
        <w:t>Output:</w:t>
      </w:r>
      <w:r>
        <w:t xml:space="preserve"> a client that accounts can be created under.</w:t>
      </w:r>
    </w:p>
    <w:p w14:paraId="12582EED" w14:textId="77777777" w:rsidR="00F3776B" w:rsidRDefault="00000000">
      <w:pPr>
        <w:spacing w:before="160" w:after="100"/>
      </w:pPr>
      <w:r>
        <w:rPr>
          <w:b/>
          <w:sz w:val="25"/>
        </w:rPr>
        <w:t>Step 2 — Add an account under the client ✅</w:t>
      </w:r>
    </w:p>
    <w:p w14:paraId="5C0CEF5F" w14:textId="77777777" w:rsidR="00F3776B" w:rsidRDefault="00000000">
      <w:r>
        <w:t xml:space="preserve">An Admin creates an </w:t>
      </w:r>
      <w:r>
        <w:rPr>
          <w:b/>
        </w:rPr>
        <w:t>Account</w:t>
      </w:r>
      <w:r>
        <w:t xml:space="preserve"> (the billing unit, e.g. "ZF — Dedicated Support") under the client. At</w:t>
      </w:r>
    </w:p>
    <w:p w14:paraId="7747EEF8" w14:textId="77777777" w:rsidR="00F3776B" w:rsidRDefault="00000000">
      <w:r>
        <w:t xml:space="preserve">creation the account is given its </w:t>
      </w:r>
      <w:r>
        <w:rPr>
          <w:b/>
        </w:rPr>
        <w:t>SDM owner</w:t>
      </w:r>
      <w:r>
        <w:t xml:space="preserve"> (name, </w:t>
      </w:r>
      <w:r>
        <w:rPr>
          <w:rFonts w:ascii="Consolas" w:hAnsi="Consolas"/>
        </w:rPr>
        <w:t>@ovationwps.com</w:t>
      </w:r>
      <w:r>
        <w:t xml:space="preserve"> email, phone) — this drives who can</w:t>
      </w:r>
    </w:p>
    <w:p w14:paraId="1DA789AC" w14:textId="77777777" w:rsidR="00F3776B" w:rsidRDefault="00000000">
      <w:r>
        <w:t>see and act on it — plus the client POC contact, billing address, currency, and dispatch billing settings.</w:t>
      </w:r>
    </w:p>
    <w:p w14:paraId="3F593C6A" w14:textId="77777777" w:rsidR="00F3776B" w:rsidRDefault="00000000">
      <w:r>
        <w:t xml:space="preserve">&gt; </w:t>
      </w:r>
      <w:r>
        <w:rPr>
          <w:i/>
        </w:rPr>
        <w:t>Output:</w:t>
      </w:r>
      <w:r>
        <w:t xml:space="preserve"> an account owned by an SDM, ready for a rate sheet.</w:t>
      </w:r>
    </w:p>
    <w:p w14:paraId="5D6F796F" w14:textId="77777777" w:rsidR="00F3776B" w:rsidRDefault="00000000">
      <w:pPr>
        <w:spacing w:before="160" w:after="100"/>
      </w:pPr>
      <w:r>
        <w:rPr>
          <w:b/>
          <w:sz w:val="25"/>
        </w:rPr>
        <w:t>Step 3 — Set the rate sheet for the account ✅</w:t>
      </w:r>
    </w:p>
    <w:p w14:paraId="189289BE" w14:textId="77777777" w:rsidR="00F3776B" w:rsidRDefault="00000000">
      <w:r>
        <w:t xml:space="preserve">An Admin fills the account's </w:t>
      </w:r>
      <w:r>
        <w:rPr>
          <w:b/>
        </w:rPr>
        <w:t>rate sheet</w:t>
      </w:r>
      <w:r>
        <w:t xml:space="preserve">: a matrix of rate amounts across </w:t>
      </w:r>
      <w:r>
        <w:rPr>
          <w:b/>
        </w:rPr>
        <w:t>rate category</w:t>
      </w:r>
    </w:p>
    <w:p w14:paraId="48BAFF83" w14:textId="77777777" w:rsidR="00F3776B" w:rsidRDefault="00000000">
      <w:r>
        <w:t xml:space="preserve">(Dedicated · Project/T&amp;M · Dispatch/Scheduled), </w:t>
      </w:r>
      <w:r>
        <w:rPr>
          <w:b/>
        </w:rPr>
        <w:t>band (0–4)</w:t>
      </w:r>
      <w:r>
        <w:t xml:space="preserve">, </w:t>
      </w:r>
      <w:r>
        <w:rPr>
          <w:b/>
        </w:rPr>
        <w:t>SLA</w:t>
      </w:r>
      <w:r>
        <w:t>, and sub-category (first-hour,</w:t>
      </w:r>
    </w:p>
    <w:p w14:paraId="48E914FD" w14:textId="77777777" w:rsidR="00F3776B" w:rsidRDefault="00000000">
      <w:r>
        <w:t xml:space="preserve">full-day, annual-backfill, etc.). </w:t>
      </w:r>
      <w:r>
        <w:rPr>
          <w:b/>
        </w:rPr>
        <w:t>Misc fees</w:t>
      </w:r>
      <w:r>
        <w:t xml:space="preserve"> (retainer, mileage, BGV, per diem, project-management %)</w:t>
      </w:r>
    </w:p>
    <w:p w14:paraId="30D703EE" w14:textId="77777777" w:rsidR="00F3776B" w:rsidRDefault="00000000">
      <w:r>
        <w:t>are added here too. Rates can be filled in over time as commercials are agreed.</w:t>
      </w:r>
    </w:p>
    <w:p w14:paraId="43BE8904" w14:textId="77777777" w:rsidR="00F3776B" w:rsidRDefault="00000000">
      <w:r>
        <w:t xml:space="preserve">&gt; </w:t>
      </w:r>
      <w:r>
        <w:rPr>
          <w:i/>
        </w:rPr>
        <w:t>Output:</w:t>
      </w:r>
      <w:r>
        <w:t xml:space="preserve"> the pricing the engine will apply when invoicing this account.</w:t>
      </w:r>
    </w:p>
    <w:p w14:paraId="7F9B4A32" w14:textId="77777777" w:rsidR="00F3776B" w:rsidRDefault="00000000">
      <w:pPr>
        <w:spacing w:before="160" w:after="100"/>
      </w:pPr>
      <w:r>
        <w:rPr>
          <w:b/>
          <w:sz w:val="25"/>
        </w:rPr>
        <w:t>Step 4 — Add technicians ✅</w:t>
      </w:r>
    </w:p>
    <w:p w14:paraId="037A6803" w14:textId="77777777" w:rsidR="00F3776B" w:rsidRDefault="00000000">
      <w:r>
        <w:t xml:space="preserve">An Admin adds </w:t>
      </w:r>
      <w:r>
        <w:rPr>
          <w:b/>
        </w:rPr>
        <w:t>technicians</w:t>
      </w:r>
      <w:r>
        <w:t xml:space="preserve"> (name, employer, band 0–4, primary category, contact details, employment</w:t>
      </w:r>
    </w:p>
    <w:p w14:paraId="09F4FAB5" w14:textId="77777777" w:rsidR="00F3776B" w:rsidRDefault="00000000">
      <w:r>
        <w:rPr>
          <w:b/>
        </w:rPr>
        <w:t>start date</w:t>
      </w:r>
      <w:r>
        <w:t>, location). Rebadged technicians can carry their own per-tech rates.</w:t>
      </w:r>
    </w:p>
    <w:p w14:paraId="1642AD66" w14:textId="77777777" w:rsidR="00F3776B" w:rsidRDefault="00000000">
      <w:r>
        <w:t xml:space="preserve">&gt; </w:t>
      </w:r>
      <w:r>
        <w:rPr>
          <w:i/>
        </w:rPr>
        <w:t>Output:</w:t>
      </w:r>
      <w:r>
        <w:t xml:space="preserve"> the people who can be assigned to accounts.</w:t>
      </w:r>
    </w:p>
    <w:p w14:paraId="1702EC03" w14:textId="77777777" w:rsidR="00F3776B" w:rsidRDefault="00000000">
      <w:pPr>
        <w:spacing w:before="160" w:after="100"/>
      </w:pPr>
      <w:r>
        <w:rPr>
          <w:b/>
          <w:sz w:val="25"/>
        </w:rPr>
        <w:t>Step 5 — Assign a technician to the account ✅</w:t>
      </w:r>
    </w:p>
    <w:p w14:paraId="6624ED47" w14:textId="77777777" w:rsidR="00F3776B" w:rsidRDefault="00000000">
      <w:r>
        <w:t xml:space="preserve">An Admin creates an </w:t>
      </w:r>
      <w:r>
        <w:rPr>
          <w:b/>
        </w:rPr>
        <w:t>Assignment</w:t>
      </w:r>
      <w:r>
        <w:t xml:space="preserve"> (technician × account × rate category) with a start date (and optional</w:t>
      </w:r>
    </w:p>
    <w:p w14:paraId="31AFB3DB" w14:textId="77777777" w:rsidR="00F3776B" w:rsidRDefault="00000000">
      <w:r>
        <w:t>end date). The assignment inherits the account's rates at the technician's band. A Dedicated technician can</w:t>
      </w:r>
    </w:p>
    <w:p w14:paraId="3C93A416" w14:textId="77777777" w:rsidR="00F3776B" w:rsidRDefault="00000000">
      <w:r>
        <w:t xml:space="preserve">hold only one active assignment at a time. The assignment defines the </w:t>
      </w:r>
      <w:r>
        <w:rPr>
          <w:b/>
        </w:rPr>
        <w:t>active window</w:t>
      </w:r>
      <w:r>
        <w:t xml:space="preserve"> that the monthly</w:t>
      </w:r>
    </w:p>
    <w:p w14:paraId="070ABD6E" w14:textId="77777777" w:rsidR="00F3776B" w:rsidRDefault="00000000">
      <w:r>
        <w:t>timesheet bills against.</w:t>
      </w:r>
    </w:p>
    <w:p w14:paraId="4211EBD8" w14:textId="77777777" w:rsidR="00F3776B" w:rsidRDefault="00000000">
      <w:r>
        <w:lastRenderedPageBreak/>
        <w:t xml:space="preserve">&gt; </w:t>
      </w:r>
      <w:r>
        <w:rPr>
          <w:i/>
        </w:rPr>
        <w:t>Output:</w:t>
      </w:r>
      <w:r>
        <w:t xml:space="preserve"> the link that makes a technician billable on this account — and seeds the monthly timesheet.</w:t>
      </w:r>
    </w:p>
    <w:p w14:paraId="449190DD" w14:textId="77777777" w:rsidR="00F3776B" w:rsidRDefault="00000000">
      <w:pPr>
        <w:spacing w:before="160" w:after="100"/>
      </w:pPr>
      <w:r>
        <w:rPr>
          <w:b/>
          <w:sz w:val="25"/>
        </w:rPr>
        <w:t>Step 6 — The monthly timesheet ✅</w:t>
      </w:r>
    </w:p>
    <w:p w14:paraId="1F6F4E7F" w14:textId="77777777" w:rsidR="00F3776B" w:rsidRDefault="00000000">
      <w:r>
        <w:t xml:space="preserve">For each account and month, the assignment produces a </w:t>
      </w:r>
      <w:r>
        <w:rPr>
          <w:b/>
        </w:rPr>
        <w:t>timesheet grid</w:t>
      </w:r>
      <w:r>
        <w:t xml:space="preserve"> (one row per assigned technician,</w:t>
      </w:r>
    </w:p>
    <w:p w14:paraId="0C231A4F" w14:textId="77777777" w:rsidR="00F3776B" w:rsidRDefault="00000000">
      <w:r>
        <w:t xml:space="preserve">one cell per day). An SDM (or Admin) enters hours and day-codes; the grid </w:t>
      </w:r>
      <w:r>
        <w:rPr>
          <w:b/>
        </w:rPr>
        <w:t>autosaves</w:t>
      </w:r>
      <w:r>
        <w:t>:</w:t>
      </w:r>
    </w:p>
    <w:p w14:paraId="39B4F6B5" w14:textId="77777777" w:rsidR="00F3776B" w:rsidRDefault="00000000">
      <w:pPr>
        <w:pStyle w:val="ListBullet"/>
      </w:pPr>
      <w:r>
        <w:t xml:space="preserve">A </w:t>
      </w:r>
      <w:r>
        <w:rPr>
          <w:b/>
        </w:rPr>
        <w:t>number</w:t>
      </w:r>
      <w:r>
        <w:t xml:space="preserve"> = hours worked (weekday hours over the day's standard become OT; weekend hours bill to the</w:t>
      </w:r>
    </w:p>
    <w:p w14:paraId="6E694575" w14:textId="77777777" w:rsidR="00F3776B" w:rsidRDefault="00000000">
      <w:r>
        <w:t>weekend bucket).</w:t>
      </w:r>
    </w:p>
    <w:p w14:paraId="579A9330" w14:textId="77777777" w:rsidR="00F3776B" w:rsidRDefault="00000000">
      <w:pPr>
        <w:pStyle w:val="ListBullet"/>
      </w:pPr>
      <w:r>
        <w:rPr>
          <w:b/>
        </w:rPr>
        <w:t>PH</w:t>
      </w:r>
      <w:r>
        <w:t xml:space="preserve"> public holiday · </w:t>
      </w:r>
      <w:r>
        <w:rPr>
          <w:b/>
        </w:rPr>
        <w:t>AB</w:t>
      </w:r>
      <w:r>
        <w:t xml:space="preserve"> absent · </w:t>
      </w:r>
      <w:r>
        <w:rPr>
          <w:b/>
        </w:rPr>
        <w:t>PTO</w:t>
      </w:r>
      <w:r>
        <w:t xml:space="preserve"> paid-not-billed · </w:t>
      </w:r>
      <w:r>
        <w:rPr>
          <w:b/>
        </w:rPr>
        <w:t>HALF_DAY</w:t>
      </w:r>
      <w:r>
        <w:t xml:space="preserve"> · </w:t>
      </w:r>
      <w:r>
        <w:rPr>
          <w:b/>
        </w:rPr>
        <w:t>NA</w:t>
      </w:r>
      <w:r>
        <w:t xml:space="preserve"> not applicable.</w:t>
      </w:r>
    </w:p>
    <w:p w14:paraId="600D71AD" w14:textId="77777777" w:rsidR="00F3776B" w:rsidRDefault="00000000">
      <w:pPr>
        <w:pStyle w:val="ListBullet"/>
      </w:pPr>
      <w:r>
        <w:t>Blank weekdays inside the assignment window pre-fill to standard hours on reload.</w:t>
      </w:r>
    </w:p>
    <w:p w14:paraId="7ECEE07F" w14:textId="77777777" w:rsidR="00F3776B" w:rsidRDefault="00000000">
      <w:pPr>
        <w:pStyle w:val="ListBullet"/>
      </w:pPr>
      <w:r>
        <w:rPr>
          <w:b/>
        </w:rPr>
        <w:t>Dispatch visits</w:t>
      </w:r>
      <w:r>
        <w:t xml:space="preserve"> are logged separately (in/out times → business / after-hours / weekend split, tickets,</w:t>
      </w:r>
    </w:p>
    <w:p w14:paraId="6187627E" w14:textId="77777777" w:rsidR="00F3776B" w:rsidRDefault="00000000">
      <w:r>
        <w:t>travel, parts).</w:t>
      </w:r>
    </w:p>
    <w:p w14:paraId="21DA6D71" w14:textId="77777777" w:rsidR="00F3776B" w:rsidRDefault="00000000">
      <w:r>
        <w:t xml:space="preserve">&gt; </w:t>
      </w:r>
      <w:r>
        <w:rPr>
          <w:i/>
        </w:rPr>
        <w:t>Output:</w:t>
      </w:r>
      <w:r>
        <w:t xml:space="preserve"> the month's billable time, ready to invoice.</w:t>
      </w:r>
    </w:p>
    <w:p w14:paraId="53A55095" w14:textId="77777777" w:rsidR="00F3776B" w:rsidRDefault="00000000">
      <w:pPr>
        <w:spacing w:before="160" w:after="100"/>
      </w:pPr>
      <w:r>
        <w:rPr>
          <w:b/>
          <w:sz w:val="25"/>
        </w:rPr>
        <w:t>Step 7 — Edit / adjust the timesheet ✅</w:t>
      </w:r>
    </w:p>
    <w:p w14:paraId="08113761" w14:textId="77777777" w:rsidR="00F3776B" w:rsidRDefault="00000000">
      <w:r>
        <w:t xml:space="preserve">The SDM corrects cells, records </w:t>
      </w:r>
      <w:r>
        <w:rPr>
          <w:b/>
        </w:rPr>
        <w:t>coverage events</w:t>
      </w:r>
      <w:r>
        <w:t xml:space="preserve"> (a pool technician covering a backfill seat), and</w:t>
      </w:r>
    </w:p>
    <w:p w14:paraId="17863026" w14:textId="77777777" w:rsidR="00F3776B" w:rsidRDefault="00000000">
      <w:r>
        <w:t>resolves exceptions (missing cells, unpriced rows, cancelled dispatch visits) surfaced on the dashboard.</w:t>
      </w:r>
    </w:p>
    <w:p w14:paraId="11F1E638" w14:textId="77777777" w:rsidR="00F3776B" w:rsidRDefault="00000000">
      <w:r>
        <w:t xml:space="preserve">&gt; </w:t>
      </w:r>
      <w:r>
        <w:rPr>
          <w:i/>
        </w:rPr>
        <w:t>Output:</w:t>
      </w:r>
      <w:r>
        <w:t xml:space="preserve"> a clean, reconciled month.</w:t>
      </w:r>
    </w:p>
    <w:p w14:paraId="08199F9B" w14:textId="77777777" w:rsidR="00F3776B" w:rsidRDefault="00000000">
      <w:pPr>
        <w:spacing w:before="160" w:after="100"/>
      </w:pPr>
      <w:r>
        <w:rPr>
          <w:b/>
          <w:sz w:val="25"/>
        </w:rPr>
        <w:t>Step 8 — Generate the invoice ✅</w:t>
      </w:r>
    </w:p>
    <w:p w14:paraId="5A0CA5B2" w14:textId="77777777" w:rsidR="00F3776B" w:rsidRDefault="00000000">
      <w:r>
        <w:t xml:space="preserve">The SDM (or Admin) picks </w:t>
      </w:r>
      <w:r>
        <w:rPr>
          <w:b/>
        </w:rPr>
        <w:t>(account, month)</w:t>
      </w:r>
      <w:r>
        <w:t xml:space="preserve"> and the engine resolves the client → selects the template →</w:t>
      </w:r>
    </w:p>
    <w:p w14:paraId="323D73D5" w14:textId="77777777" w:rsidR="00F3776B" w:rsidRDefault="00000000">
      <w:r>
        <w:t xml:space="preserve">loads the timesheet/dispatch data → applies the rate sheet → renders the </w:t>
      </w:r>
      <w:r>
        <w:rPr>
          <w:b/>
        </w:rPr>
        <w:t>client-ready Excel workbook</w:t>
      </w:r>
      <w:r>
        <w:t>.</w:t>
      </w:r>
    </w:p>
    <w:p w14:paraId="7A9187DE" w14:textId="77777777" w:rsidR="00F3776B" w:rsidRDefault="00000000">
      <w:r>
        <w:t xml:space="preserve">Each workbook bundles the </w:t>
      </w:r>
      <w:r>
        <w:rPr>
          <w:b/>
        </w:rPr>
        <w:t>Pre-Invoice (or FSO)</w:t>
      </w:r>
      <w:r>
        <w:t xml:space="preserve"> sheet plus a </w:t>
      </w:r>
      <w:r>
        <w:rPr>
          <w:b/>
        </w:rPr>
        <w:t>Timesheet</w:t>
      </w:r>
      <w:r>
        <w:t xml:space="preserve">, a </w:t>
      </w:r>
      <w:r>
        <w:rPr>
          <w:b/>
        </w:rPr>
        <w:t>Rate Sheet</w:t>
      </w:r>
      <w:r>
        <w:t xml:space="preserve"> (filled</w:t>
      </w:r>
    </w:p>
    <w:p w14:paraId="3C165984" w14:textId="77777777" w:rsidR="00F3776B" w:rsidRDefault="00000000">
      <w:r>
        <w:t xml:space="preserve">rates), and a </w:t>
      </w:r>
      <w:r>
        <w:rPr>
          <w:b/>
        </w:rPr>
        <w:t>Remittance Advice</w:t>
      </w:r>
      <w:r>
        <w:t xml:space="preserve"> sheet. HCL accounts also get the FSO category sheets. Every run is</w:t>
      </w:r>
    </w:p>
    <w:p w14:paraId="4074FF2F" w14:textId="77777777" w:rsidR="00F3776B" w:rsidRDefault="00000000">
      <w:r>
        <w:t>logged (who, when, format).</w:t>
      </w:r>
    </w:p>
    <w:p w14:paraId="636E8CEE" w14:textId="77777777" w:rsidR="00F3776B" w:rsidRDefault="00000000">
      <w:r>
        <w:t xml:space="preserve">&gt; </w:t>
      </w:r>
      <w:r>
        <w:rPr>
          <w:i/>
        </w:rPr>
        <w:t>Output:</w:t>
      </w:r>
      <w:r>
        <w:t xml:space="preserve"> the invoice workbook (currently downloaded in the browser).</w:t>
      </w:r>
    </w:p>
    <w:p w14:paraId="055B5F2A" w14:textId="0F0E95E8" w:rsidR="00C953DF" w:rsidRPr="00FE3465" w:rsidRDefault="00000000" w:rsidP="00FE3465">
      <w:r>
        <w:rPr>
          <w:color w:val="CCCCCC"/>
        </w:rPr>
        <w:t>____________________________________________________________</w:t>
      </w:r>
    </w:p>
    <w:p w14:paraId="4EEE6C18" w14:textId="77777777" w:rsidR="00C953DF" w:rsidRDefault="00C953DF">
      <w:pPr>
        <w:spacing w:before="280" w:after="100"/>
        <w:rPr>
          <w:b/>
          <w:color w:val="B30920"/>
          <w:sz w:val="30"/>
        </w:rPr>
      </w:pPr>
    </w:p>
    <w:p w14:paraId="389AD473" w14:textId="77777777" w:rsidR="00F3776B" w:rsidRDefault="00000000">
      <w:pPr>
        <w:spacing w:before="280" w:after="100"/>
      </w:pPr>
      <w:r>
        <w:rPr>
          <w:b/>
          <w:color w:val="B30920"/>
          <w:sz w:val="30"/>
        </w:rPr>
        <w:t xml:space="preserve">5. Billing model </w:t>
      </w:r>
      <w:proofErr w:type="gramStart"/>
      <w:r>
        <w:rPr>
          <w:b/>
          <w:color w:val="B30920"/>
          <w:sz w:val="30"/>
        </w:rPr>
        <w:t>at a glance</w:t>
      </w:r>
      <w:proofErr w:type="gramEnd"/>
      <w:r>
        <w:rPr>
          <w:b/>
          <w:color w:val="B30920"/>
          <w:sz w:val="30"/>
        </w:rPr>
        <w:t xml:space="preserve"> ✅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776B" w14:paraId="07AAF232" w14:textId="77777777" w:rsidTr="00F3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D521EF" w14:textId="77777777" w:rsidR="00F3776B" w:rsidRDefault="00000000">
            <w:r>
              <w:rPr>
                <w:sz w:val="19"/>
              </w:rPr>
              <w:t>Model</w:t>
            </w:r>
          </w:p>
        </w:tc>
        <w:tc>
          <w:tcPr>
            <w:tcW w:w="2880" w:type="dxa"/>
          </w:tcPr>
          <w:p w14:paraId="5983A5B7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Basis</w:t>
            </w:r>
          </w:p>
        </w:tc>
        <w:tc>
          <w:tcPr>
            <w:tcW w:w="2880" w:type="dxa"/>
          </w:tcPr>
          <w:p w14:paraId="2A7939CB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F3776B" w14:paraId="751F03D4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A2CA6" w14:textId="77777777" w:rsidR="00F3776B" w:rsidRDefault="00000000">
            <w:r>
              <w:rPr>
                <w:sz w:val="19"/>
              </w:rPr>
              <w:t>Dedicated</w:t>
            </w:r>
          </w:p>
        </w:tc>
        <w:tc>
          <w:tcPr>
            <w:tcW w:w="2880" w:type="dxa"/>
          </w:tcPr>
          <w:p w14:paraId="3B2FB6E5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Day-rate (annual ÷ 12 ÷ business-days-excl-PH) or hourly, per technician</w:t>
            </w:r>
          </w:p>
        </w:tc>
        <w:tc>
          <w:tcPr>
            <w:tcW w:w="2880" w:type="dxa"/>
          </w:tcPr>
          <w:p w14:paraId="308839D2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 OT (hours over the day standard) + weekend; Backfill vs No-Backfill tier</w:t>
            </w:r>
          </w:p>
        </w:tc>
      </w:tr>
      <w:tr w:rsidR="00F3776B" w14:paraId="000F3730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2D45A" w14:textId="77777777" w:rsidR="00F3776B" w:rsidRDefault="00000000">
            <w:r>
              <w:rPr>
                <w:sz w:val="19"/>
              </w:rPr>
              <w:t>Dispatch</w:t>
            </w:r>
          </w:p>
        </w:tc>
        <w:tc>
          <w:tcPr>
            <w:tcW w:w="2880" w:type="dxa"/>
          </w:tcPr>
          <w:p w14:paraId="35F94FBF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Per-visit first-hour + per-hour, split business / after-hours / weekend</w:t>
            </w:r>
          </w:p>
        </w:tc>
        <w:tc>
          <w:tcPr>
            <w:tcW w:w="2880" w:type="dxa"/>
          </w:tcPr>
          <w:p w14:paraId="38751E11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From in/out times; per-ticket flat; full-day cap; TCS priority model</w:t>
            </w:r>
          </w:p>
        </w:tc>
      </w:tr>
      <w:tr w:rsidR="00F3776B" w14:paraId="064841D9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C4EB13" w14:textId="77777777" w:rsidR="00F3776B" w:rsidRDefault="00000000">
            <w:r>
              <w:rPr>
                <w:sz w:val="19"/>
              </w:rPr>
              <w:t>Project / T&amp;M</w:t>
            </w:r>
          </w:p>
        </w:tc>
        <w:tc>
          <w:tcPr>
            <w:tcW w:w="2880" w:type="dxa"/>
          </w:tcPr>
          <w:p w14:paraId="377B326A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Per-band day / half-day / weekend / hourly</w:t>
            </w:r>
          </w:p>
        </w:tc>
        <w:tc>
          <w:tcPr>
            <w:tcW w:w="2880" w:type="dxa"/>
          </w:tcPr>
          <w:p w14:paraId="0C49CCF3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 weekly/monthly + monthly cap</w:t>
            </w:r>
          </w:p>
        </w:tc>
      </w:tr>
      <w:tr w:rsidR="00F3776B" w14:paraId="4D02F81E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2E4D2" w14:textId="77777777" w:rsidR="00F3776B" w:rsidRDefault="00000000">
            <w:r>
              <w:rPr>
                <w:sz w:val="19"/>
              </w:rPr>
              <w:t>Scheduled</w:t>
            </w:r>
          </w:p>
        </w:tc>
        <w:tc>
          <w:tcPr>
            <w:tcW w:w="2880" w:type="dxa"/>
          </w:tcPr>
          <w:p w14:paraId="78E10E99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Per-band day / half / weekend / hourly</w:t>
            </w:r>
          </w:p>
        </w:tc>
        <w:tc>
          <w:tcPr>
            <w:tcW w:w="2880" w:type="dxa"/>
          </w:tcPr>
          <w:p w14:paraId="6CF9FA44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Scheduled visits</w:t>
            </w:r>
          </w:p>
        </w:tc>
      </w:tr>
      <w:tr w:rsidR="00F3776B" w14:paraId="0FC8312D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F562A8" w14:textId="77777777" w:rsidR="00F3776B" w:rsidRDefault="00000000">
            <w:r>
              <w:rPr>
                <w:sz w:val="19"/>
              </w:rPr>
              <w:t>Misc fees</w:t>
            </w:r>
          </w:p>
        </w:tc>
        <w:tc>
          <w:tcPr>
            <w:tcW w:w="2880" w:type="dxa"/>
          </w:tcPr>
          <w:p w14:paraId="31D66CA5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% on subtotal + flat</w:t>
            </w:r>
          </w:p>
        </w:tc>
        <w:tc>
          <w:tcPr>
            <w:tcW w:w="2880" w:type="dxa"/>
          </w:tcPr>
          <w:p w14:paraId="0A12D6D4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Retainer, mileage, BGV, per diem, toolkit</w:t>
            </w:r>
          </w:p>
        </w:tc>
      </w:tr>
    </w:tbl>
    <w:p w14:paraId="0E133AA1" w14:textId="77777777" w:rsidR="00F3776B" w:rsidRDefault="00F3776B"/>
    <w:p w14:paraId="77587DA9" w14:textId="7B5157C3" w:rsidR="00F3776B" w:rsidRDefault="00000000">
      <w:r>
        <w:rPr>
          <w:b/>
        </w:rPr>
        <w:t>Rules:</w:t>
      </w:r>
      <w:r>
        <w:t xml:space="preserve"> OT (overtime, quantity) ≠ OOB (out-of-business-hours, time-of-day). Public holidays reduce th</w:t>
      </w:r>
      <w:r w:rsidR="00C953DF">
        <w:t xml:space="preserve">e </w:t>
      </w:r>
      <w:r>
        <w:t xml:space="preserve">business-day denominator (never billed as a worked day). PTO is paid to the technician but </w:t>
      </w:r>
      <w:r>
        <w:rPr>
          <w:b/>
        </w:rPr>
        <w:t>not charged</w:t>
      </w:r>
    </w:p>
    <w:p w14:paraId="18D9C25E" w14:textId="77777777" w:rsidR="00F3776B" w:rsidRDefault="00000000">
      <w:r>
        <w:t>to the client.</w:t>
      </w:r>
    </w:p>
    <w:p w14:paraId="7502614B" w14:textId="77777777" w:rsidR="00F3776B" w:rsidRDefault="00000000">
      <w:r>
        <w:rPr>
          <w:color w:val="CCCCCC"/>
        </w:rPr>
        <w:t>____________________________________________________________</w:t>
      </w:r>
    </w:p>
    <w:p w14:paraId="775B6F95" w14:textId="77777777" w:rsidR="00F3776B" w:rsidRDefault="00000000">
      <w:pPr>
        <w:spacing w:before="280" w:after="100"/>
      </w:pPr>
      <w:r>
        <w:rPr>
          <w:b/>
          <w:color w:val="B30920"/>
          <w:sz w:val="30"/>
        </w:rPr>
        <w:t>6. Outputs ✅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776B" w14:paraId="63EC9960" w14:textId="77777777" w:rsidTr="00F3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D4925B" w14:textId="77777777" w:rsidR="00F3776B" w:rsidRDefault="00000000">
            <w:r>
              <w:rPr>
                <w:sz w:val="19"/>
              </w:rPr>
              <w:t>Client</w:t>
            </w:r>
          </w:p>
        </w:tc>
        <w:tc>
          <w:tcPr>
            <w:tcW w:w="2880" w:type="dxa"/>
          </w:tcPr>
          <w:p w14:paraId="3AFF5DD6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Template</w:t>
            </w:r>
          </w:p>
        </w:tc>
        <w:tc>
          <w:tcPr>
            <w:tcW w:w="2880" w:type="dxa"/>
          </w:tcPr>
          <w:p w14:paraId="71BFBE18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Workbook contents</w:t>
            </w:r>
          </w:p>
        </w:tc>
      </w:tr>
      <w:tr w:rsidR="00F3776B" w14:paraId="74C11044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C4DF0E" w14:textId="77777777" w:rsidR="00F3776B" w:rsidRDefault="00000000">
            <w:r>
              <w:rPr>
                <w:sz w:val="19"/>
              </w:rPr>
              <w:t>HCL</w:t>
            </w:r>
          </w:p>
        </w:tc>
        <w:tc>
          <w:tcPr>
            <w:tcW w:w="2880" w:type="dxa"/>
          </w:tcPr>
          <w:p w14:paraId="49ADD422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FSO</w:t>
            </w:r>
          </w:p>
        </w:tc>
        <w:tc>
          <w:tcPr>
            <w:tcW w:w="2880" w:type="dxa"/>
          </w:tcPr>
          <w:p w14:paraId="2CAFF119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FSO category sheets (Dedicated / Project Work / Dispatch / SV) + Combined Pre-Invoice + Timesheet + Rate Sheet + Remittance</w:t>
            </w:r>
          </w:p>
        </w:tc>
      </w:tr>
      <w:tr w:rsidR="00F3776B" w14:paraId="6E79809E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99E5C8" w14:textId="77777777" w:rsidR="00F3776B" w:rsidRDefault="00000000">
            <w:r>
              <w:rPr>
                <w:sz w:val="19"/>
              </w:rPr>
              <w:t>All others</w:t>
            </w:r>
            <w:r>
              <w:rPr>
                <w:b w:val="0"/>
                <w:sz w:val="19"/>
              </w:rPr>
              <w:t xml:space="preserve"> (Cognizant, TCS, Wipro, …)</w:t>
            </w:r>
          </w:p>
        </w:tc>
        <w:tc>
          <w:tcPr>
            <w:tcW w:w="2880" w:type="dxa"/>
          </w:tcPr>
          <w:p w14:paraId="041104D9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Pre-Invoice</w:t>
            </w:r>
          </w:p>
        </w:tc>
        <w:tc>
          <w:tcPr>
            <w:tcW w:w="2880" w:type="dxa"/>
          </w:tcPr>
          <w:p w14:paraId="1BF3AE7C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Pre-Invoice + Timesheet + Rate Sheet + Remittance</w:t>
            </w:r>
          </w:p>
        </w:tc>
      </w:tr>
    </w:tbl>
    <w:p w14:paraId="464828BB" w14:textId="77777777" w:rsidR="00F3776B" w:rsidRDefault="00F3776B"/>
    <w:p w14:paraId="594F672C" w14:textId="77777777" w:rsidR="00F3776B" w:rsidRDefault="00000000">
      <w:r>
        <w:t>Output is on-demand; the generated workbook is intended to be visually indistinguishable from the manual</w:t>
      </w:r>
    </w:p>
    <w:p w14:paraId="5635E9A3" w14:textId="77777777" w:rsidR="00F3776B" w:rsidRDefault="00000000">
      <w:pPr>
        <w:pBdr>
          <w:bottom w:val="single" w:sz="12" w:space="1" w:color="auto"/>
        </w:pBdr>
      </w:pPr>
      <w:r>
        <w:t>files clients receive today.</w:t>
      </w:r>
    </w:p>
    <w:p w14:paraId="6D50E635" w14:textId="3D99A951" w:rsidR="00F3776B" w:rsidRDefault="00000000">
      <w:r>
        <w:rPr>
          <w:color w:val="CCCCCC"/>
        </w:rPr>
        <w:t>________________</w:t>
      </w:r>
    </w:p>
    <w:p w14:paraId="6638179C" w14:textId="77777777" w:rsidR="00F3776B" w:rsidRDefault="00000000">
      <w:r>
        <w:rPr>
          <w:color w:val="CCCCCC"/>
        </w:rPr>
        <w:t>____________________________________________________________</w:t>
      </w:r>
    </w:p>
    <w:p w14:paraId="10EEA6D3" w14:textId="77777777" w:rsidR="00F3776B" w:rsidRDefault="00000000">
      <w:pPr>
        <w:spacing w:before="280" w:after="100"/>
      </w:pPr>
      <w:r>
        <w:rPr>
          <w:b/>
          <w:color w:val="B30920"/>
          <w:sz w:val="40"/>
        </w:rPr>
        <w:lastRenderedPageBreak/>
        <w:t>Part 2 — Architecture</w:t>
      </w:r>
    </w:p>
    <w:p w14:paraId="2E829664" w14:textId="77777777" w:rsidR="00F3776B" w:rsidRDefault="00000000">
      <w:pPr>
        <w:spacing w:before="280" w:after="100"/>
      </w:pPr>
      <w:r>
        <w:rPr>
          <w:b/>
          <w:color w:val="B30920"/>
          <w:sz w:val="40"/>
        </w:rPr>
        <w:t>Ovation Invoicing — Architecture Overview</w:t>
      </w:r>
    </w:p>
    <w:p w14:paraId="62D03478" w14:textId="77777777" w:rsidR="00F3776B" w:rsidRDefault="00000000">
      <w:pPr>
        <w:spacing w:before="160" w:after="100"/>
      </w:pPr>
      <w:r>
        <w:rPr>
          <w:b/>
          <w:sz w:val="25"/>
        </w:rPr>
        <w:t>Proof of Concept → Production (Microsoft-native)</w:t>
      </w:r>
    </w:p>
    <w:p w14:paraId="6879DDFF" w14:textId="77777777" w:rsidR="00F3776B" w:rsidRDefault="00000000">
      <w:r>
        <w:rPr>
          <w:b/>
        </w:rPr>
        <w:t>Prepared by:</w:t>
      </w:r>
      <w:r>
        <w:t xml:space="preserve"> Karan</w:t>
      </w:r>
    </w:p>
    <w:p w14:paraId="264669E3" w14:textId="77777777" w:rsidR="00F3776B" w:rsidRDefault="00000000">
      <w:r>
        <w:rPr>
          <w:b/>
        </w:rPr>
        <w:t>Date:</w:t>
      </w:r>
      <w:r>
        <w:t xml:space="preserve"> 2026-06-18</w:t>
      </w:r>
    </w:p>
    <w:p w14:paraId="7658F2AB" w14:textId="77777777" w:rsidR="00F3776B" w:rsidRDefault="00000000">
      <w:r>
        <w:rPr>
          <w:b/>
        </w:rPr>
        <w:t>Purpose:</w:t>
      </w:r>
      <w:r>
        <w:t xml:space="preserve"> Set out the architecture of the current proof of concept, the production target inside the</w:t>
      </w:r>
    </w:p>
    <w:p w14:paraId="4D6275B8" w14:textId="77777777" w:rsidR="00F3776B" w:rsidRDefault="00000000">
      <w:r>
        <w:t>Microsoft / Azure ecosystem, and a clear what-replaces-what mapping — for sign-off before the next phase.</w:t>
      </w:r>
    </w:p>
    <w:p w14:paraId="554AE763" w14:textId="77777777" w:rsidR="00F3776B" w:rsidRDefault="00000000">
      <w:r>
        <w:rPr>
          <w:color w:val="CCCCCC"/>
        </w:rPr>
        <w:t>____________________________________________________________</w:t>
      </w:r>
    </w:p>
    <w:p w14:paraId="359BAF1C" w14:textId="77777777" w:rsidR="00F3776B" w:rsidRDefault="00000000">
      <w:pPr>
        <w:spacing w:before="280" w:after="100"/>
      </w:pPr>
      <w:r>
        <w:rPr>
          <w:b/>
          <w:color w:val="B30920"/>
          <w:sz w:val="30"/>
        </w:rPr>
        <w:t>1. Context</w:t>
      </w:r>
    </w:p>
    <w:p w14:paraId="35C9F039" w14:textId="460B9C40" w:rsidR="00F3776B" w:rsidRDefault="00000000">
      <w:r>
        <w:t xml:space="preserve">The current </w:t>
      </w:r>
      <w:proofErr w:type="gramStart"/>
      <w:r>
        <w:t>build</w:t>
      </w:r>
      <w:proofErr w:type="gramEnd"/>
      <w:r>
        <w:t xml:space="preserve"> is a </w:t>
      </w:r>
      <w:r>
        <w:rPr>
          <w:b/>
        </w:rPr>
        <w:t>proof of concept</w:t>
      </w:r>
      <w:r>
        <w:t>, approved in our architecture call to validate the billing and</w:t>
      </w:r>
      <w:r w:rsidR="00DE6BFC">
        <w:t xml:space="preserve"> i</w:t>
      </w:r>
      <w:r>
        <w:t>nvoice-generation logic before committing to the production setup. That objective is met: the engine</w:t>
      </w:r>
      <w:r w:rsidR="00DE6BFC">
        <w:t xml:space="preserve"> </w:t>
      </w:r>
      <w:r>
        <w:t>produces accurate, client-ready invoices (FSO for HCL, Pre-Invoice for others).</w:t>
      </w:r>
      <w:r w:rsidR="00DE6BFC">
        <w:t xml:space="preserve"> </w:t>
      </w:r>
      <w:r>
        <w:t xml:space="preserve">The PoC was built deliberately on </w:t>
      </w:r>
      <w:r>
        <w:rPr>
          <w:b/>
        </w:rPr>
        <w:t>portable, industry-standard technology with no proprietary lock-in</w:t>
      </w:r>
      <w:r>
        <w:t>, so</w:t>
      </w:r>
      <w:r w:rsidR="00DE6BFC">
        <w:t xml:space="preserve"> m</w:t>
      </w:r>
      <w:r>
        <w:t>oving to a fully Microsoft-native production architecture is a</w:t>
      </w:r>
      <w:r w:rsidR="00FE3465">
        <w:t xml:space="preserve"> </w:t>
      </w:r>
      <w:r>
        <w:t>hosting and configuration change, not a</w:t>
      </w:r>
      <w:r w:rsidR="00DE6BFC">
        <w:t xml:space="preserve"> </w:t>
      </w:r>
      <w:r>
        <w:t>rebuild</w:t>
      </w:r>
      <w:r>
        <w:rPr>
          <w:b/>
        </w:rPr>
        <w:t xml:space="preserve">. Identity has been on </w:t>
      </w:r>
      <w:r>
        <w:t>Microsoft Entra ID** from the start.</w:t>
      </w:r>
    </w:p>
    <w:p w14:paraId="6ADBFED1" w14:textId="3A7DC197" w:rsidR="00DE6BFC" w:rsidRDefault="00000000" w:rsidP="00FE3465">
      <w:pPr>
        <w:pBdr>
          <w:bottom w:val="single" w:sz="12" w:space="1" w:color="auto"/>
        </w:pBdr>
      </w:pPr>
      <w:r>
        <w:t xml:space="preserve">This document is the basis for </w:t>
      </w:r>
      <w:proofErr w:type="gramStart"/>
      <w:r>
        <w:t>agreeing</w:t>
      </w:r>
      <w:proofErr w:type="gramEnd"/>
      <w:r>
        <w:t xml:space="preserve"> the production architecture and the ISO 27001 compliance approach.</w:t>
      </w:r>
    </w:p>
    <w:p w14:paraId="540AB019" w14:textId="77777777" w:rsidR="00F3776B" w:rsidRDefault="00000000">
      <w:pPr>
        <w:spacing w:before="280" w:after="100"/>
      </w:pPr>
      <w:r>
        <w:rPr>
          <w:b/>
          <w:color w:val="B30920"/>
          <w:sz w:val="30"/>
        </w:rPr>
        <w:t>2. Current architecture (Proof of Concept)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776B" w14:paraId="638B70B9" w14:textId="77777777" w:rsidTr="00F3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128C12" w14:textId="77777777" w:rsidR="00F3776B" w:rsidRDefault="00000000">
            <w:r>
              <w:rPr>
                <w:sz w:val="19"/>
              </w:rPr>
              <w:t>Layer</w:t>
            </w:r>
          </w:p>
        </w:tc>
        <w:tc>
          <w:tcPr>
            <w:tcW w:w="2880" w:type="dxa"/>
          </w:tcPr>
          <w:p w14:paraId="179451FA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Technology</w:t>
            </w:r>
          </w:p>
        </w:tc>
        <w:tc>
          <w:tcPr>
            <w:tcW w:w="2880" w:type="dxa"/>
          </w:tcPr>
          <w:p w14:paraId="3019A994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F3776B" w14:paraId="53489B89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060DD" w14:textId="77777777" w:rsidR="00F3776B" w:rsidRDefault="00000000">
            <w:r>
              <w:rPr>
                <w:b w:val="0"/>
                <w:sz w:val="19"/>
              </w:rPr>
              <w:t>Application</w:t>
            </w:r>
          </w:p>
        </w:tc>
        <w:tc>
          <w:tcPr>
            <w:tcW w:w="2880" w:type="dxa"/>
          </w:tcPr>
          <w:p w14:paraId="2D410190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Next.js 15 (TypeScript)</w:t>
            </w:r>
          </w:p>
        </w:tc>
        <w:tc>
          <w:tcPr>
            <w:tcW w:w="2880" w:type="dxa"/>
          </w:tcPr>
          <w:p w14:paraId="31E5ADC8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Standard framework; no platform-proprietary features used</w:t>
            </w:r>
          </w:p>
        </w:tc>
      </w:tr>
      <w:tr w:rsidR="00F3776B" w14:paraId="6F3538C8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3B45B" w14:textId="77777777" w:rsidR="00F3776B" w:rsidRDefault="00000000">
            <w:r>
              <w:rPr>
                <w:b w:val="0"/>
                <w:sz w:val="19"/>
              </w:rPr>
              <w:t>Hosting</w:t>
            </w:r>
          </w:p>
        </w:tc>
        <w:tc>
          <w:tcPr>
            <w:tcW w:w="2880" w:type="dxa"/>
          </w:tcPr>
          <w:p w14:paraId="0EAADBE1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Vercel</w:t>
            </w:r>
          </w:p>
        </w:tc>
        <w:tc>
          <w:tcPr>
            <w:tcW w:w="2880" w:type="dxa"/>
          </w:tcPr>
          <w:p w14:paraId="4BC211E4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PoC hosting for fast iteration</w:t>
            </w:r>
          </w:p>
        </w:tc>
      </w:tr>
      <w:tr w:rsidR="00F3776B" w14:paraId="4893FE40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05281" w14:textId="77777777" w:rsidR="00F3776B" w:rsidRDefault="00000000">
            <w:r>
              <w:rPr>
                <w:b w:val="0"/>
                <w:sz w:val="19"/>
              </w:rPr>
              <w:t>Database</w:t>
            </w:r>
          </w:p>
        </w:tc>
        <w:tc>
          <w:tcPr>
            <w:tcW w:w="2880" w:type="dxa"/>
          </w:tcPr>
          <w:p w14:paraId="3DFA16D3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PostgreSQL on Neon</w:t>
            </w:r>
          </w:p>
        </w:tc>
        <w:tc>
          <w:tcPr>
            <w:tcW w:w="2880" w:type="dxa"/>
          </w:tcPr>
          <w:p w14:paraId="3E4A6F13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Standard PostgreSQL; no proprietary extensions</w:t>
            </w:r>
          </w:p>
        </w:tc>
      </w:tr>
      <w:tr w:rsidR="00F3776B" w14:paraId="3F6B2FC9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DA8A0" w14:textId="77777777" w:rsidR="00F3776B" w:rsidRDefault="00000000">
            <w:r>
              <w:rPr>
                <w:b w:val="0"/>
                <w:sz w:val="19"/>
              </w:rPr>
              <w:t>Identity / sign-in</w:t>
            </w:r>
          </w:p>
        </w:tc>
        <w:tc>
          <w:tcPr>
            <w:tcW w:w="2880" w:type="dxa"/>
          </w:tcPr>
          <w:p w14:paraId="058AF7FE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Microsoft Entra ID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@ovationwps.com</w:t>
            </w:r>
            <w:r>
              <w:rPr>
                <w:sz w:val="19"/>
              </w:rPr>
              <w:t xml:space="preserve"> only)</w:t>
            </w:r>
          </w:p>
        </w:tc>
        <w:tc>
          <w:tcPr>
            <w:tcW w:w="2880" w:type="dxa"/>
          </w:tcPr>
          <w:p w14:paraId="3F58741C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Already in our tenant</w:t>
            </w:r>
          </w:p>
        </w:tc>
      </w:tr>
      <w:tr w:rsidR="00F3776B" w14:paraId="3D25300A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151527" w14:textId="77777777" w:rsidR="00F3776B" w:rsidRDefault="00000000">
            <w:r>
              <w:rPr>
                <w:b w:val="0"/>
                <w:sz w:val="19"/>
              </w:rPr>
              <w:t>Invoice output</w:t>
            </w:r>
          </w:p>
        </w:tc>
        <w:tc>
          <w:tcPr>
            <w:tcW w:w="2880" w:type="dxa"/>
          </w:tcPr>
          <w:p w14:paraId="59D9388E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ExcelJS (in-app)</w:t>
            </w:r>
          </w:p>
        </w:tc>
        <w:tc>
          <w:tcPr>
            <w:tcW w:w="2880" w:type="dxa"/>
          </w:tcPr>
          <w:p w14:paraId="7D5B930C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Generates the .xlsx; downloaded manually today</w:t>
            </w:r>
          </w:p>
        </w:tc>
      </w:tr>
      <w:tr w:rsidR="00F3776B" w14:paraId="05EACCEC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B0D310" w14:textId="77777777" w:rsidR="00F3776B" w:rsidRDefault="00000000">
            <w:r>
              <w:rPr>
                <w:b w:val="0"/>
                <w:sz w:val="19"/>
              </w:rPr>
              <w:t>Geocoding (minor)</w:t>
            </w:r>
          </w:p>
        </w:tc>
        <w:tc>
          <w:tcPr>
            <w:tcW w:w="2880" w:type="dxa"/>
          </w:tcPr>
          <w:p w14:paraId="589DE813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Local postal-code table, with a public API fallback</w:t>
            </w:r>
          </w:p>
        </w:tc>
        <w:tc>
          <w:tcPr>
            <w:tcW w:w="2880" w:type="dxa"/>
          </w:tcPr>
          <w:p w14:paraId="3CDD03E2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Fallback used only when not in the local table</w:t>
            </w:r>
          </w:p>
        </w:tc>
      </w:tr>
    </w:tbl>
    <w:p w14:paraId="1BC428B8" w14:textId="77777777" w:rsidR="00F3776B" w:rsidRDefault="00F3776B"/>
    <w:p w14:paraId="008E022B" w14:textId="2DB6B7BB" w:rsidR="00C953DF" w:rsidRPr="00DE6BFC" w:rsidRDefault="00000000" w:rsidP="00DE6BFC">
      <w:r>
        <w:rPr>
          <w:b/>
        </w:rPr>
        <w:t>Email:</w:t>
      </w:r>
      <w:r>
        <w:t xml:space="preserve"> none today — invoices are generated and sent manually (automated delivery was not in PoC scope)</w:t>
      </w:r>
    </w:p>
    <w:p w14:paraId="29F3817E" w14:textId="53235F5F" w:rsidR="00F3776B" w:rsidRDefault="00000000">
      <w:pPr>
        <w:spacing w:before="280" w:after="100"/>
      </w:pPr>
      <w:r>
        <w:rPr>
          <w:b/>
          <w:color w:val="B30920"/>
          <w:sz w:val="30"/>
        </w:rPr>
        <w:lastRenderedPageBreak/>
        <w:t>3. Production target (Microsoft-native)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776B" w14:paraId="5454C531" w14:textId="77777777" w:rsidTr="00F3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BB77A4" w14:textId="77777777" w:rsidR="00F3776B" w:rsidRDefault="00000000">
            <w:r>
              <w:rPr>
                <w:sz w:val="19"/>
              </w:rPr>
              <w:t>Layer</w:t>
            </w:r>
          </w:p>
        </w:tc>
        <w:tc>
          <w:tcPr>
            <w:tcW w:w="2880" w:type="dxa"/>
          </w:tcPr>
          <w:p w14:paraId="1BE9C99D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Technology</w:t>
            </w:r>
          </w:p>
        </w:tc>
        <w:tc>
          <w:tcPr>
            <w:tcW w:w="2880" w:type="dxa"/>
          </w:tcPr>
          <w:p w14:paraId="72E84966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Outcome</w:t>
            </w:r>
          </w:p>
        </w:tc>
      </w:tr>
      <w:tr w:rsidR="00F3776B" w14:paraId="16601557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1DBB72" w14:textId="77777777" w:rsidR="00F3776B" w:rsidRDefault="00000000">
            <w:r>
              <w:rPr>
                <w:b w:val="0"/>
                <w:sz w:val="19"/>
              </w:rPr>
              <w:t>Application</w:t>
            </w:r>
          </w:p>
        </w:tc>
        <w:tc>
          <w:tcPr>
            <w:tcW w:w="2880" w:type="dxa"/>
          </w:tcPr>
          <w:p w14:paraId="36ACEBAB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Next.js 15 (unchanged)</w:t>
            </w:r>
          </w:p>
        </w:tc>
        <w:tc>
          <w:tcPr>
            <w:tcW w:w="2880" w:type="dxa"/>
          </w:tcPr>
          <w:p w14:paraId="22D9BE23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Same code</w:t>
            </w:r>
          </w:p>
        </w:tc>
      </w:tr>
      <w:tr w:rsidR="00F3776B" w14:paraId="4A96A80F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F6F29" w14:textId="77777777" w:rsidR="00F3776B" w:rsidRDefault="00000000">
            <w:r>
              <w:rPr>
                <w:b w:val="0"/>
                <w:sz w:val="19"/>
              </w:rPr>
              <w:t>Hosting</w:t>
            </w:r>
          </w:p>
        </w:tc>
        <w:tc>
          <w:tcPr>
            <w:tcW w:w="2880" w:type="dxa"/>
          </w:tcPr>
          <w:p w14:paraId="73F87FD0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Azure App Service</w:t>
            </w:r>
            <w:r>
              <w:rPr>
                <w:sz w:val="19"/>
              </w:rPr>
              <w:t xml:space="preserve"> (Linux, Node)</w:t>
            </w:r>
          </w:p>
        </w:tc>
        <w:tc>
          <w:tcPr>
            <w:tcW w:w="2880" w:type="dxa"/>
          </w:tcPr>
          <w:p w14:paraId="1F4C3B96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App runs inside the tenant</w:t>
            </w:r>
          </w:p>
        </w:tc>
      </w:tr>
      <w:tr w:rsidR="00F3776B" w14:paraId="4E6EBFC7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A14A1" w14:textId="77777777" w:rsidR="00F3776B" w:rsidRDefault="00000000">
            <w:r>
              <w:rPr>
                <w:b w:val="0"/>
                <w:sz w:val="19"/>
              </w:rPr>
              <w:t>Database</w:t>
            </w:r>
          </w:p>
        </w:tc>
        <w:tc>
          <w:tcPr>
            <w:tcW w:w="2880" w:type="dxa"/>
          </w:tcPr>
          <w:p w14:paraId="4DB61B69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Azure Database for PostgreSQL (Flexible Server)</w:t>
            </w:r>
          </w:p>
        </w:tc>
        <w:tc>
          <w:tcPr>
            <w:tcW w:w="2880" w:type="dxa"/>
          </w:tcPr>
          <w:p w14:paraId="5E466A74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Same engine; data inside Microsoft</w:t>
            </w:r>
          </w:p>
        </w:tc>
      </w:tr>
      <w:tr w:rsidR="00F3776B" w14:paraId="1B219679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014C1" w14:textId="77777777" w:rsidR="00F3776B" w:rsidRDefault="00000000">
            <w:r>
              <w:rPr>
                <w:b w:val="0"/>
                <w:sz w:val="19"/>
              </w:rPr>
              <w:t>Identity</w:t>
            </w:r>
          </w:p>
        </w:tc>
        <w:tc>
          <w:tcPr>
            <w:tcW w:w="2880" w:type="dxa"/>
          </w:tcPr>
          <w:p w14:paraId="28E8F353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Microsoft Entra ID</w:t>
            </w:r>
            <w:r>
              <w:rPr>
                <w:sz w:val="19"/>
              </w:rPr>
              <w:t xml:space="preserve"> (unchanged)</w:t>
            </w:r>
          </w:p>
        </w:tc>
        <w:tc>
          <w:tcPr>
            <w:tcW w:w="2880" w:type="dxa"/>
          </w:tcPr>
          <w:p w14:paraId="0BCB8E5F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 change</w:t>
            </w:r>
          </w:p>
        </w:tc>
      </w:tr>
      <w:tr w:rsidR="00F3776B" w14:paraId="6BF7724C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67021" w14:textId="77777777" w:rsidR="00F3776B" w:rsidRDefault="00000000">
            <w:r>
              <w:rPr>
                <w:b w:val="0"/>
                <w:sz w:val="19"/>
              </w:rPr>
              <w:t>Secrets</w:t>
            </w:r>
          </w:p>
        </w:tc>
        <w:tc>
          <w:tcPr>
            <w:tcW w:w="2880" w:type="dxa"/>
          </w:tcPr>
          <w:p w14:paraId="10588978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Azure Key Vault</w:t>
            </w:r>
            <w:r>
              <w:rPr>
                <w:sz w:val="19"/>
              </w:rPr>
              <w:t xml:space="preserve"> + App Service config</w:t>
            </w:r>
          </w:p>
        </w:tc>
        <w:tc>
          <w:tcPr>
            <w:tcW w:w="2880" w:type="dxa"/>
          </w:tcPr>
          <w:p w14:paraId="2F9E6E3A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Governed in the tenant</w:t>
            </w:r>
          </w:p>
        </w:tc>
      </w:tr>
      <w:tr w:rsidR="00F3776B" w14:paraId="25A4A8DC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8B58A" w14:textId="77777777" w:rsidR="00F3776B" w:rsidRDefault="00000000">
            <w:r>
              <w:rPr>
                <w:b w:val="0"/>
                <w:sz w:val="19"/>
              </w:rPr>
              <w:t>Email</w:t>
            </w:r>
          </w:p>
        </w:tc>
        <w:tc>
          <w:tcPr>
            <w:tcW w:w="2880" w:type="dxa"/>
          </w:tcPr>
          <w:p w14:paraId="10892037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Microsoft Graph</w:t>
            </w:r>
            <w:r>
              <w:rPr>
                <w:sz w:val="19"/>
              </w:rPr>
              <w:t xml:space="preserve"> from an Ovation mailbox (e.g. </w:t>
            </w:r>
            <w:r>
              <w:rPr>
                <w:rFonts w:ascii="Consolas" w:hAnsi="Consolas"/>
                <w:sz w:val="19"/>
              </w:rPr>
              <w:t>billing@ovationwps.com</w:t>
            </w:r>
            <w:r>
              <w:rPr>
                <w:sz w:val="19"/>
              </w:rPr>
              <w:t>)</w:t>
            </w:r>
          </w:p>
        </w:tc>
        <w:tc>
          <w:tcPr>
            <w:tcW w:w="2880" w:type="dxa"/>
          </w:tcPr>
          <w:p w14:paraId="77A5907B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Invoices / reminders / alerts from our address, recorded in Exchange</w:t>
            </w:r>
          </w:p>
        </w:tc>
      </w:tr>
      <w:tr w:rsidR="00F3776B" w14:paraId="211674BE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EEC23C" w14:textId="77777777" w:rsidR="00F3776B" w:rsidRDefault="00000000">
            <w:r>
              <w:rPr>
                <w:b w:val="0"/>
                <w:sz w:val="19"/>
              </w:rPr>
              <w:t>Geocoding</w:t>
            </w:r>
          </w:p>
        </w:tc>
        <w:tc>
          <w:tcPr>
            <w:tcW w:w="2880" w:type="dxa"/>
          </w:tcPr>
          <w:p w14:paraId="3A9E481F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Azure Maps</w:t>
            </w:r>
            <w:r>
              <w:rPr>
                <w:sz w:val="19"/>
              </w:rPr>
              <w:t xml:space="preserve"> or local table only</w:t>
            </w:r>
          </w:p>
        </w:tc>
        <w:tc>
          <w:tcPr>
            <w:tcW w:w="2880" w:type="dxa"/>
          </w:tcPr>
          <w:p w14:paraId="65419C4F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Removes the last external call</w:t>
            </w:r>
          </w:p>
        </w:tc>
      </w:tr>
      <w:tr w:rsidR="00F3776B" w14:paraId="46011D8C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96208" w14:textId="77777777" w:rsidR="00F3776B" w:rsidRDefault="00000000">
            <w:r>
              <w:rPr>
                <w:b w:val="0"/>
                <w:sz w:val="19"/>
              </w:rPr>
              <w:t>CI/CD</w:t>
            </w:r>
          </w:p>
        </w:tc>
        <w:tc>
          <w:tcPr>
            <w:tcW w:w="2880" w:type="dxa"/>
          </w:tcPr>
          <w:p w14:paraId="3282B1E9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GitHub Actions → Azure (OIDC)</w:t>
            </w:r>
            <w:r>
              <w:rPr>
                <w:sz w:val="19"/>
              </w:rPr>
              <w:t xml:space="preserve"> or Azure DevOps</w:t>
            </w:r>
          </w:p>
        </w:tc>
        <w:tc>
          <w:tcPr>
            <w:tcW w:w="2880" w:type="dxa"/>
          </w:tcPr>
          <w:p w14:paraId="5AF00BCA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Microsoft toolchain</w:t>
            </w:r>
          </w:p>
        </w:tc>
      </w:tr>
    </w:tbl>
    <w:p w14:paraId="33D7638B" w14:textId="77777777" w:rsidR="00F3776B" w:rsidRDefault="00F3776B"/>
    <w:p w14:paraId="6912A39C" w14:textId="77777777" w:rsidR="00F3776B" w:rsidRDefault="00000000">
      <w:r>
        <w:rPr>
          <w:b/>
        </w:rPr>
        <w:t>Result:</w:t>
      </w:r>
      <w:r>
        <w:t xml:space="preserve"> zero non-Microsoft infrastructure vendors — one tenant, one security review, one contract.</w:t>
      </w:r>
    </w:p>
    <w:p w14:paraId="0B1B88E4" w14:textId="77777777" w:rsidR="00F3776B" w:rsidRDefault="00000000">
      <w:r>
        <w:rPr>
          <w:color w:val="CCCCCC"/>
        </w:rPr>
        <w:t>____________________________________________________________</w:t>
      </w:r>
    </w:p>
    <w:p w14:paraId="3A5F57EA" w14:textId="77777777" w:rsidR="00F3776B" w:rsidRDefault="00000000">
      <w:pPr>
        <w:spacing w:before="280" w:after="100"/>
      </w:pPr>
      <w:r>
        <w:rPr>
          <w:b/>
          <w:color w:val="B30920"/>
          <w:sz w:val="30"/>
        </w:rPr>
        <w:t>4. What replaces what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776B" w14:paraId="73CBCA17" w14:textId="77777777" w:rsidTr="00F3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C719D" w14:textId="77777777" w:rsidR="00F3776B" w:rsidRDefault="00000000">
            <w:r>
              <w:rPr>
                <w:sz w:val="19"/>
              </w:rPr>
              <w:t>Current (PoC)</w:t>
            </w:r>
          </w:p>
        </w:tc>
        <w:tc>
          <w:tcPr>
            <w:tcW w:w="2880" w:type="dxa"/>
          </w:tcPr>
          <w:p w14:paraId="365F8A6C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Production (Microsoft)</w:t>
            </w:r>
          </w:p>
        </w:tc>
        <w:tc>
          <w:tcPr>
            <w:tcW w:w="2880" w:type="dxa"/>
          </w:tcPr>
          <w:p w14:paraId="0A4E2AC7" w14:textId="77777777" w:rsidR="00F377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Change type</w:t>
            </w:r>
          </w:p>
        </w:tc>
      </w:tr>
      <w:tr w:rsidR="00F3776B" w14:paraId="35F607CE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14BE3A" w14:textId="77777777" w:rsidR="00F3776B" w:rsidRDefault="00000000">
            <w:r>
              <w:rPr>
                <w:b w:val="0"/>
                <w:sz w:val="19"/>
              </w:rPr>
              <w:t>Vercel (hosting)</w:t>
            </w:r>
          </w:p>
        </w:tc>
        <w:tc>
          <w:tcPr>
            <w:tcW w:w="2880" w:type="dxa"/>
          </w:tcPr>
          <w:p w14:paraId="72D2AA3B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App Service</w:t>
            </w:r>
          </w:p>
        </w:tc>
        <w:tc>
          <w:tcPr>
            <w:tcW w:w="2880" w:type="dxa"/>
          </w:tcPr>
          <w:p w14:paraId="16D9A0AF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Re-host (no code rewrite)</w:t>
            </w:r>
          </w:p>
        </w:tc>
      </w:tr>
      <w:tr w:rsidR="00F3776B" w14:paraId="3D9A4D7B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964673" w14:textId="77777777" w:rsidR="00F3776B" w:rsidRDefault="00000000">
            <w:r>
              <w:rPr>
                <w:b w:val="0"/>
                <w:sz w:val="19"/>
              </w:rPr>
              <w:t>Neon (PostgreSQL, on AWS)</w:t>
            </w:r>
          </w:p>
        </w:tc>
        <w:tc>
          <w:tcPr>
            <w:tcW w:w="2880" w:type="dxa"/>
          </w:tcPr>
          <w:p w14:paraId="321970BC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Azure Database for PostgreSQL</w:t>
            </w:r>
          </w:p>
        </w:tc>
        <w:tc>
          <w:tcPr>
            <w:tcW w:w="2880" w:type="dxa"/>
          </w:tcPr>
          <w:p w14:paraId="1506B6AA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Connection-string + data copy (same engine)</w:t>
            </w:r>
          </w:p>
        </w:tc>
      </w:tr>
      <w:tr w:rsidR="00F3776B" w14:paraId="6BEA1BC0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B4A96" w14:textId="77777777" w:rsidR="00F3776B" w:rsidRDefault="00000000">
            <w:r>
              <w:rPr>
                <w:b w:val="0"/>
                <w:sz w:val="19"/>
              </w:rPr>
              <w:t>Vercel environment variables</w:t>
            </w:r>
          </w:p>
        </w:tc>
        <w:tc>
          <w:tcPr>
            <w:tcW w:w="2880" w:type="dxa"/>
          </w:tcPr>
          <w:p w14:paraId="578953B4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Key Vault + App Service config</w:t>
            </w:r>
          </w:p>
        </w:tc>
        <w:tc>
          <w:tcPr>
            <w:tcW w:w="2880" w:type="dxa"/>
          </w:tcPr>
          <w:p w14:paraId="4A5CF9DB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Config move</w:t>
            </w:r>
          </w:p>
        </w:tc>
      </w:tr>
      <w:tr w:rsidR="00F3776B" w14:paraId="224DA318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3782BF" w14:textId="77777777" w:rsidR="00F3776B" w:rsidRDefault="00000000">
            <w:r>
              <w:rPr>
                <w:i/>
                <w:sz w:val="19"/>
              </w:rPr>
              <w:t>(no email)</w:t>
            </w:r>
          </w:p>
        </w:tc>
        <w:tc>
          <w:tcPr>
            <w:tcW w:w="2880" w:type="dxa"/>
          </w:tcPr>
          <w:p w14:paraId="5F9FA5BD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Microsoft Graph email from Ovation mailbox</w:t>
            </w:r>
          </w:p>
        </w:tc>
        <w:tc>
          <w:tcPr>
            <w:tcW w:w="2880" w:type="dxa"/>
          </w:tcPr>
          <w:p w14:paraId="0AA62106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New capability, inside the tenant</w:t>
            </w:r>
          </w:p>
        </w:tc>
      </w:tr>
      <w:tr w:rsidR="00F3776B" w14:paraId="0E958D1C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6A73D" w14:textId="77777777" w:rsidR="00F3776B" w:rsidRDefault="00000000">
            <w:r>
              <w:rPr>
                <w:b w:val="0"/>
                <w:sz w:val="19"/>
              </w:rPr>
              <w:t>Public geocoding API (fallback)</w:t>
            </w:r>
          </w:p>
        </w:tc>
        <w:tc>
          <w:tcPr>
            <w:tcW w:w="2880" w:type="dxa"/>
          </w:tcPr>
          <w:p w14:paraId="3DFA88A1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Maps / local table</w:t>
            </w:r>
          </w:p>
        </w:tc>
        <w:tc>
          <w:tcPr>
            <w:tcW w:w="2880" w:type="dxa"/>
          </w:tcPr>
          <w:p w14:paraId="4F586E8A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Remove external dependency</w:t>
            </w:r>
          </w:p>
        </w:tc>
      </w:tr>
      <w:tr w:rsidR="00F3776B" w14:paraId="7C994684" w14:textId="77777777" w:rsidTr="00F37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33102" w14:textId="77777777" w:rsidR="00F3776B" w:rsidRDefault="00000000">
            <w:r>
              <w:rPr>
                <w:b w:val="0"/>
                <w:sz w:val="19"/>
              </w:rPr>
              <w:t>Microsoft Entra ID</w:t>
            </w:r>
          </w:p>
        </w:tc>
        <w:tc>
          <w:tcPr>
            <w:tcW w:w="2880" w:type="dxa"/>
          </w:tcPr>
          <w:p w14:paraId="048BD84C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Microsoft Entra ID</w:t>
            </w:r>
          </w:p>
        </w:tc>
        <w:tc>
          <w:tcPr>
            <w:tcW w:w="2880" w:type="dxa"/>
          </w:tcPr>
          <w:p w14:paraId="03F5826D" w14:textId="77777777" w:rsidR="00F377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No change — already Microsoft</w:t>
            </w:r>
          </w:p>
        </w:tc>
      </w:tr>
      <w:tr w:rsidR="00F3776B" w14:paraId="6837692E" w14:textId="77777777" w:rsidTr="00F3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333BA1" w14:textId="77777777" w:rsidR="00F3776B" w:rsidRDefault="00000000">
            <w:r>
              <w:rPr>
                <w:b w:val="0"/>
                <w:sz w:val="19"/>
              </w:rPr>
              <w:t>GitHub deploys</w:t>
            </w:r>
          </w:p>
        </w:tc>
        <w:tc>
          <w:tcPr>
            <w:tcW w:w="2880" w:type="dxa"/>
          </w:tcPr>
          <w:p w14:paraId="0B8344C4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Actions → Azure (OIDC)</w:t>
            </w:r>
          </w:p>
        </w:tc>
        <w:tc>
          <w:tcPr>
            <w:tcW w:w="2880" w:type="dxa"/>
          </w:tcPr>
          <w:p w14:paraId="45F1CC4C" w14:textId="77777777" w:rsidR="00F377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Pipeline move</w:t>
            </w:r>
          </w:p>
        </w:tc>
      </w:tr>
    </w:tbl>
    <w:p w14:paraId="30CB074B" w14:textId="77777777" w:rsidR="00F3776B" w:rsidRDefault="00F3776B"/>
    <w:p w14:paraId="2417C02D" w14:textId="72A41008" w:rsidR="00F3776B" w:rsidRDefault="00000000">
      <w:r>
        <w:rPr>
          <w:color w:val="CCCCCC"/>
        </w:rPr>
        <w:t>_</w:t>
      </w:r>
    </w:p>
    <w:sectPr w:rsidR="00F377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891070">
    <w:abstractNumId w:val="8"/>
  </w:num>
  <w:num w:numId="2" w16cid:durableId="1674801867">
    <w:abstractNumId w:val="6"/>
  </w:num>
  <w:num w:numId="3" w16cid:durableId="311839045">
    <w:abstractNumId w:val="5"/>
  </w:num>
  <w:num w:numId="4" w16cid:durableId="590701771">
    <w:abstractNumId w:val="4"/>
  </w:num>
  <w:num w:numId="5" w16cid:durableId="1224147328">
    <w:abstractNumId w:val="7"/>
  </w:num>
  <w:num w:numId="6" w16cid:durableId="479925670">
    <w:abstractNumId w:val="3"/>
  </w:num>
  <w:num w:numId="7" w16cid:durableId="1994066455">
    <w:abstractNumId w:val="2"/>
  </w:num>
  <w:num w:numId="8" w16cid:durableId="878009593">
    <w:abstractNumId w:val="1"/>
  </w:num>
  <w:num w:numId="9" w16cid:durableId="27571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EC2"/>
    <w:rsid w:val="0015074B"/>
    <w:rsid w:val="0029639D"/>
    <w:rsid w:val="00326F90"/>
    <w:rsid w:val="00AA1D8D"/>
    <w:rsid w:val="00B47730"/>
    <w:rsid w:val="00C953DF"/>
    <w:rsid w:val="00CB0664"/>
    <w:rsid w:val="00DE6BFC"/>
    <w:rsid w:val="00F3776B"/>
    <w:rsid w:val="00FC693F"/>
    <w:rsid w:val="00FE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39EA3"/>
  <w14:defaultImageDpi w14:val="300"/>
  <w15:docId w15:val="{D21BCA5C-2902-4F3B-A3EB-335424AF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Karandeep Singh Talwar</cp:lastModifiedBy>
  <cp:revision>2</cp:revision>
  <dcterms:created xsi:type="dcterms:W3CDTF">2013-12-23T23:15:00Z</dcterms:created>
  <dcterms:modified xsi:type="dcterms:W3CDTF">2026-06-17T19:42:00Z</dcterms:modified>
  <cp:category/>
</cp:coreProperties>
</file>