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Observations and Inferences: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Outliers and Drug Regimens: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Outliers were identified for four treatment regimens: Capomulin, Ceftamin, Infubinol, and Ramicane. The interquartile range (IQR) was calculated for each drug, and any data point falling below the lower bound or above the upper bound was considered an outlier. This information is crucial for identifying potential anomalies in the data.</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Drug Regimen Distribution: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mice across different drug regimens varied. Capomulin and Ramicane had the highest number of data points, suggesting that these regimens were more frequently administered or monitored. On the other hand, Propriva had the lowest number of data points. Understanding the distribution of data among different treatments is essential for assessing the overall study design.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Statistics for Selected Drug Regimens: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statistics for Capomulin, Ceftamin, Infubinol, and Ramicane offer valuable information on the central tendency and variability of tumor volume. For instance, Capomulin and Ramicane both show lower means and medians compared to Ceftamin and Infubinol. This suggests potential differences in the efficacy of these regimens, emphasizing the importance of detailed statistical analysis for informed decision-making.</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Correlation between Mouse Weight and Tumor Volume: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coefficient of 0.84 between mouse weight and the average tumor volume for the Capomulin treatment regimen indicates a strong positive correlation. This suggests that as the weight of the mice increases, the average tumor volume also tends to increase. Understanding such correlations is crucial for evaluating potential factors influencing the effectiveness of drug regimens.</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observations highlight the importance of comprehensive data analysis in understanding the effectiveness of drug regimens, identifying potential outliers, and exploring relationships between variables like mouse weight and tumor volume. The results can guide further research and contribute to evidence-based decision-making in the context of cancer treatment studies.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