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isas-para-fazer"/>
      <w:r>
        <w:t xml:space="preserve">Coisas para fazer</w:t>
      </w:r>
      <w:bookmarkEnd w:id="20"/>
    </w:p>
    <w:p>
      <w:pPr>
        <w:pStyle w:val="Heading2"/>
      </w:pPr>
      <w:bookmarkStart w:id="21" w:name="X855dfb8d96d2cde28b5772945eba7cac427440c"/>
      <w:r>
        <w:t xml:space="preserve">Escrever o pq das localizacoes das subestações e ponto de entrega</w:t>
      </w:r>
      <w:bookmarkEnd w:id="21"/>
    </w:p>
    <w:p>
      <w:pPr>
        <w:pStyle w:val="FirstParagraph"/>
      </w:pPr>
      <w:r>
        <w:t xml:space="preserve">Para encontrar um ponto ideal para as subestações, foi utilizado o método da média de posições. Encontrar um lugar que contenha a média de todas as cargas de uma determinada localização implica no lugar com os menores custos de materiais. Infelizmente, este método sempre resulta em subestações que ficam na parte interna do ambiente fabril, sendo necessário realizar alterações para o projeto real.</w:t>
      </w:r>
    </w:p>
    <w:p>
      <w:pPr>
        <w:pStyle w:val="Heading3"/>
      </w:pPr>
      <w:bookmarkStart w:id="22" w:name="se1"/>
      <w:r>
        <w:t xml:space="preserve">SE1</w:t>
      </w:r>
      <w:bookmarkEnd w:id="22"/>
    </w:p>
    <w:p>
      <w:pPr>
        <w:pStyle w:val="FirstParagraph"/>
      </w:pPr>
      <w:r>
        <w:t xml:space="preserve">O ponto de referencia para a região da fábrica 1 foi o canto inferior direito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29440.33</m:t>
              </m:r>
              <m:r>
                <m:t>,</m:t>
              </m:r>
              <m:r>
                <m:t>57</m:t>
              </m:r>
              <m:r>
                <m:t>+</m:t>
              </m:r>
              <m:r>
                <m:t>29440.31</m:t>
              </m:r>
              <m:r>
                <m:t>,</m:t>
              </m:r>
              <m:r>
                <m:t>90</m:t>
              </m:r>
              <m:r>
                <m:t>+</m:t>
              </m:r>
              <m:r>
                <m:t>29440.31</m:t>
              </m:r>
              <m:r>
                <m:t>,</m:t>
              </m:r>
              <m:r>
                <m:t>90</m:t>
              </m:r>
              <m:r>
                <m:t>+</m:t>
              </m:r>
              <m:r>
                <m:t>316480.190</m:t>
              </m:r>
              <m:r>
                <m:t>,</m:t>
              </m:r>
              <m:r>
                <m:t>38</m:t>
              </m:r>
            </m:num>
            <m:den>
              <m:r>
                <m:t>404800</m:t>
              </m:r>
            </m:den>
          </m:f>
        </m:oMath>
      </m:oMathPara>
    </w:p>
    <w:p>
      <w:pPr>
        <w:pStyle w:val="FirstParagraph"/>
      </w:pPr>
      <m:oMathPara>
        <m:oMathParaPr>
          <m:jc m:val="center"/>
        </m:oMathParaPr>
        <m:oMath>
          <m:r>
            <m:t>P</m:t>
          </m:r>
          <m:r>
            <m:t>o</m:t>
          </m:r>
          <m:sSub>
            <m:e>
              <m:r>
                <m:t>s</m:t>
              </m:r>
            </m:e>
            <m:sub>
              <m:r>
                <m:t>x</m:t>
              </m:r>
            </m:sub>
          </m:sSub>
          <m:r>
            <m:t>=</m:t>
          </m:r>
          <m:r>
            <m:t>155.92</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y</m:t>
              </m:r>
            </m:sub>
          </m:sSub>
          <m:r>
            <m:t>=</m:t>
          </m:r>
          <m:f>
            <m:fPr>
              <m:type m:val="bar"/>
            </m:fPr>
            <m:num>
              <m:r>
                <m:t>29440.4</m:t>
              </m:r>
              <m:r>
                <m:t>,</m:t>
              </m:r>
              <m:r>
                <m:t>77</m:t>
              </m:r>
              <m:r>
                <m:t>+</m:t>
              </m:r>
              <m:r>
                <m:t>29440.49</m:t>
              </m:r>
              <m:r>
                <m:t>,</m:t>
              </m:r>
              <m:r>
                <m:t>44</m:t>
              </m:r>
              <m:r>
                <m:t>+</m:t>
              </m:r>
              <m:r>
                <m:t>29440.95</m:t>
              </m:r>
              <m:r>
                <m:t>,</m:t>
              </m:r>
              <m:r>
                <m:t>79</m:t>
              </m:r>
              <m:r>
                <m:t>+</m:t>
              </m:r>
              <m:r>
                <m:t>316480.34</m:t>
              </m:r>
              <m:r>
                <m:t>,</m:t>
              </m:r>
              <m:r>
                <m:t>61</m:t>
              </m:r>
            </m:num>
            <m:den>
              <m:r>
                <m:t>404800</m:t>
              </m:r>
            </m:den>
          </m:f>
        </m:oMath>
      </m:oMathPara>
    </w:p>
    <w:p>
      <w:pPr>
        <w:pStyle w:val="FirstParagraph"/>
      </w:pPr>
      <m:oMathPara>
        <m:oMathParaPr>
          <m:jc m:val="center"/>
        </m:oMathParaPr>
        <m:oMath>
          <m:r>
            <m:t>P</m:t>
          </m:r>
          <m:r>
            <m:t>o</m:t>
          </m:r>
          <m:sSub>
            <m:e>
              <m:r>
                <m:t>s</m:t>
              </m:r>
            </m:e>
            <m:sub>
              <m:r>
                <m:t>y</m:t>
              </m:r>
            </m:sub>
          </m:sSub>
          <m:r>
            <m:t>=</m:t>
          </m:r>
          <m:r>
            <m:t>37</m:t>
          </m:r>
          <m:r>
            <m:t>,</m:t>
          </m:r>
          <m:r>
            <m:t>92</m:t>
          </m:r>
        </m:oMath>
      </m:oMathPara>
    </w:p>
    <w:p>
      <w:pPr>
        <w:pStyle w:val="Heading2"/>
      </w:pPr>
      <w:bookmarkStart w:id="23" w:name="se2"/>
      <w:r>
        <w:t xml:space="preserve">SE2</w:t>
      </w:r>
      <w:bookmarkEnd w:id="23"/>
    </w:p>
    <w:p>
      <w:pPr>
        <w:pStyle w:val="FirstParagraph"/>
      </w:pPr>
      <w:r>
        <w:t xml:space="preserve">O ponto de referencia para a região do centro de convivência foi o canto inferior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20000</m:t>
              </m:r>
              <m:r>
                <m:t>.</m:t>
              </m:r>
              <m:r>
                <m:t>(</m:t>
              </m:r>
              <m:r>
                <m:t>−</m:t>
              </m:r>
              <m:r>
                <m:t>25</m:t>
              </m:r>
              <m:r>
                <m:t>,</m:t>
              </m:r>
              <m:r>
                <m:t>01</m:t>
              </m:r>
              <m:r>
                <m:t>)</m:t>
              </m:r>
              <m:r>
                <m:t>+</m:t>
              </m:r>
              <m:r>
                <m:t>110000.37</m:t>
              </m:r>
              <m:r>
                <m:t>,</m:t>
              </m:r>
              <m:r>
                <m:t>17</m:t>
              </m:r>
            </m:num>
            <m:den>
              <m:r>
                <m:t>130000</m:t>
              </m:r>
            </m:den>
          </m:f>
        </m:oMath>
      </m:oMathPara>
    </w:p>
    <w:p>
      <w:pPr>
        <w:pStyle w:val="FirstParagraph"/>
      </w:pPr>
      <m:oMathPara>
        <m:oMathParaPr>
          <m:jc m:val="center"/>
        </m:oMathParaPr>
        <m:oMath>
          <m:r>
            <m:t>P</m:t>
          </m:r>
          <m:r>
            <m:t>o</m:t>
          </m:r>
          <m:sSub>
            <m:e>
              <m:r>
                <m:t>s</m:t>
              </m:r>
            </m:e>
            <m:sub>
              <m:r>
                <m:t>x</m:t>
              </m:r>
            </m:sub>
          </m:sSub>
          <m:r>
            <m:t>=</m:t>
          </m:r>
          <m:r>
            <m:t>27</m:t>
          </m:r>
          <m:r>
            <m:t>,</m:t>
          </m:r>
          <m:r>
            <m:t>60</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y</m:t>
              </m:r>
            </m:sub>
          </m:sSub>
          <m:r>
            <m:t>=</m:t>
          </m:r>
          <m:f>
            <m:fPr>
              <m:type m:val="bar"/>
            </m:fPr>
            <m:num>
              <m:r>
                <m:t>20000</m:t>
              </m:r>
              <m:r>
                <m:t>.</m:t>
              </m:r>
              <m:r>
                <m:t>(</m:t>
              </m:r>
              <m:r>
                <m:t>40</m:t>
              </m:r>
              <m:r>
                <m:t>,</m:t>
              </m:r>
              <m:r>
                <m:t>30</m:t>
              </m:r>
              <m:r>
                <m:t>)</m:t>
              </m:r>
              <m:r>
                <m:t>+</m:t>
              </m:r>
              <m:r>
                <m:t>110000.92</m:t>
              </m:r>
              <m:r>
                <m:t>,</m:t>
              </m:r>
              <m:r>
                <m:t>41</m:t>
              </m:r>
            </m:num>
            <m:den>
              <m:r>
                <m:t>130000</m:t>
              </m:r>
            </m:den>
          </m:f>
        </m:oMath>
      </m:oMathPara>
    </w:p>
    <w:p>
      <w:pPr>
        <w:pStyle w:val="FirstParagraph"/>
      </w:pPr>
      <m:oMathPara>
        <m:oMathParaPr>
          <m:jc m:val="center"/>
        </m:oMathParaPr>
        <m:oMath>
          <m:r>
            <m:t>P</m:t>
          </m:r>
          <m:r>
            <m:t>o</m:t>
          </m:r>
          <m:sSub>
            <m:e>
              <m:r>
                <m:t>s</m:t>
              </m:r>
            </m:e>
            <m:sub>
              <m:r>
                <m:t>y</m:t>
              </m:r>
            </m:sub>
          </m:sSub>
          <m:r>
            <m:t>=</m:t>
          </m:r>
          <m:r>
            <m:t>83</m:t>
          </m:r>
          <m:r>
            <m:t>,</m:t>
          </m:r>
          <m:r>
            <m:t>39</m:t>
          </m:r>
        </m:oMath>
      </m:oMathPara>
    </w:p>
    <w:p>
      <w:pPr>
        <w:pStyle w:val="Heading2"/>
      </w:pPr>
      <w:bookmarkStart w:id="24" w:name="se3"/>
      <w:r>
        <w:t xml:space="preserve">SE3</w:t>
      </w:r>
      <w:bookmarkEnd w:id="24"/>
    </w:p>
    <w:p>
      <w:pPr>
        <w:pStyle w:val="FirstParagraph"/>
      </w:pPr>
      <w:r>
        <w:t xml:space="preserve">O ponto de referencia para a região da fábrica 2 foi o canto inferior direito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129213</m:t>
              </m:r>
              <m:r>
                <m:t>,</m:t>
              </m:r>
              <m:r>
                <m:t>48.29</m:t>
              </m:r>
              <m:r>
                <m:t>,</m:t>
              </m:r>
              <m:r>
                <m:t>24</m:t>
              </m:r>
              <m:r>
                <m:t>+</m:t>
              </m:r>
              <m:r>
                <m:t>73600.2</m:t>
              </m:r>
              <m:r>
                <m:t>,</m:t>
              </m:r>
              <m:r>
                <m:t>02</m:t>
              </m:r>
              <m:r>
                <m:t>+</m:t>
              </m:r>
              <m:r>
                <m:t>124800.51</m:t>
              </m:r>
              <m:r>
                <m:t>,</m:t>
              </m:r>
              <m:r>
                <m:t>18</m:t>
              </m:r>
            </m:num>
            <m:den>
              <m:r>
                <m:t>327613</m:t>
              </m:r>
            </m:den>
          </m:f>
        </m:oMath>
      </m:oMathPara>
    </w:p>
    <w:p>
      <w:pPr>
        <w:pStyle w:val="FirstParagraph"/>
      </w:pPr>
      <m:oMathPara>
        <m:oMathParaPr>
          <m:jc m:val="center"/>
        </m:oMathParaPr>
        <m:oMath>
          <m:r>
            <m:t>P</m:t>
          </m:r>
          <m:r>
            <m:t>o</m:t>
          </m:r>
          <m:sSub>
            <m:e>
              <m:r>
                <m:t>s</m:t>
              </m:r>
            </m:e>
            <m:sub>
              <m:r>
                <m:t>x</m:t>
              </m:r>
            </m:sub>
          </m:sSub>
          <m:r>
            <m:t>=</m:t>
          </m:r>
          <m:r>
            <m:t>31</m:t>
          </m:r>
          <m:r>
            <m:t>,</m:t>
          </m:r>
          <m:r>
            <m:t>48</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y</m:t>
              </m:r>
            </m:sub>
          </m:sSub>
          <m:r>
            <m:t>=</m:t>
          </m:r>
          <m:f>
            <m:fPr>
              <m:type m:val="bar"/>
            </m:fPr>
            <m:num>
              <m:r>
                <m:t>129213</m:t>
              </m:r>
              <m:r>
                <m:t>,</m:t>
              </m:r>
              <m:r>
                <m:t>48.97</m:t>
              </m:r>
              <m:r>
                <m:t>,</m:t>
              </m:r>
              <m:r>
                <m:t>59</m:t>
              </m:r>
              <m:r>
                <m:t>+</m:t>
              </m:r>
              <m:r>
                <m:t>73600.45</m:t>
              </m:r>
              <m:r>
                <m:t>,</m:t>
              </m:r>
              <m:r>
                <m:t>09</m:t>
              </m:r>
              <m:r>
                <m:t>+</m:t>
              </m:r>
              <m:r>
                <m:t>124800.2</m:t>
              </m:r>
              <m:r>
                <m:t>.03</m:t>
              </m:r>
            </m:num>
            <m:den>
              <m:r>
                <m:t>327613</m:t>
              </m:r>
            </m:den>
          </m:f>
        </m:oMath>
      </m:oMathPara>
    </w:p>
    <w:p>
      <w:pPr>
        <w:pStyle w:val="FirstParagraph"/>
      </w:pPr>
      <m:oMathPara>
        <m:oMathParaPr>
          <m:jc m:val="center"/>
        </m:oMathParaPr>
        <m:oMath>
          <m:r>
            <m:t>P</m:t>
          </m:r>
          <m:r>
            <m:t>o</m:t>
          </m:r>
          <m:sSub>
            <m:e>
              <m:r>
                <m:t>s</m:t>
              </m:r>
            </m:e>
            <m:sub>
              <m:r>
                <m:t>y</m:t>
              </m:r>
            </m:sub>
          </m:sSub>
          <m:r>
            <m:t>=</m:t>
          </m:r>
          <m:r>
            <m:t>49</m:t>
          </m:r>
          <m:r>
            <m:t>,</m:t>
          </m:r>
          <m:r>
            <m:t>39</m:t>
          </m:r>
        </m:oMath>
      </m:oMathPara>
    </w:p>
    <w:p>
      <w:pPr>
        <w:pStyle w:val="Heading2"/>
      </w:pPr>
      <w:bookmarkStart w:id="25" w:name="se4"/>
      <w:r>
        <w:t xml:space="preserve">SE4</w:t>
      </w:r>
      <w:bookmarkEnd w:id="25"/>
    </w:p>
    <w:p>
      <w:pPr>
        <w:pStyle w:val="FirstParagraph"/>
      </w:pPr>
      <w:r>
        <w:t xml:space="preserve">Para os depósitos, foi considerado que as cargas de iluminação e de TUGs estão distribuídas uniformemente, então, optou-se por colocar a subestação centralizada e à direita dos depósitos a fim de dar continuidade ao sistema de distribuição.</w:t>
      </w:r>
    </w:p>
    <w:p>
      <w:pPr>
        <w:pStyle w:val="Heading2"/>
      </w:pPr>
      <w:bookmarkStart w:id="26" w:name="se5"/>
      <w:r>
        <w:t xml:space="preserve">SE5</w:t>
      </w:r>
      <w:bookmarkEnd w:id="26"/>
    </w:p>
    <w:p>
      <w:pPr>
        <w:pStyle w:val="FirstParagraph"/>
      </w:pPr>
      <w:r>
        <w:t xml:space="preserve">O ponto de referencia para a região da oficina foi o canto inferior direito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7360.22</m:t>
              </m:r>
              <m:r>
                <m:t>,</m:t>
              </m:r>
              <m:r>
                <m:t>7</m:t>
              </m:r>
              <m:r>
                <m:t>+</m:t>
              </m:r>
              <m:r>
                <m:t>47368</m:t>
              </m:r>
              <m:r>
                <m:t>,</m:t>
              </m:r>
              <m:r>
                <m:t>42.70</m:t>
              </m:r>
              <m:r>
                <m:t>,</m:t>
              </m:r>
              <m:r>
                <m:t>31</m:t>
              </m:r>
              <m:r>
                <m:t>+</m:t>
              </m:r>
              <m:r>
                <m:t>63157</m:t>
              </m:r>
              <m:r>
                <m:t>,</m:t>
              </m:r>
              <m:r>
                <m:t>89.9</m:t>
              </m:r>
              <m:r>
                <m:t>,</m:t>
              </m:r>
              <m:r>
                <m:t>24</m:t>
              </m:r>
              <m:r>
                <m:t>+</m:t>
              </m:r>
              <m:r>
                <m:t>22080.0</m:t>
              </m:r>
            </m:num>
            <m:den>
              <m:r>
                <m:t>139966</m:t>
              </m:r>
            </m:den>
          </m:f>
        </m:oMath>
      </m:oMathPara>
    </w:p>
    <w:p>
      <w:pPr>
        <w:pStyle w:val="FirstParagraph"/>
      </w:pPr>
      <m:oMathPara>
        <m:oMathParaPr>
          <m:jc m:val="center"/>
        </m:oMathParaPr>
        <m:oMath>
          <m:r>
            <m:t>P</m:t>
          </m:r>
          <m:r>
            <m:t>o</m:t>
          </m:r>
          <m:sSub>
            <m:e>
              <m:r>
                <m:t>s</m:t>
              </m:r>
            </m:e>
            <m:sub>
              <m:r>
                <m:t>x</m:t>
              </m:r>
            </m:sub>
          </m:sSub>
          <m:r>
            <m:t>=</m:t>
          </m:r>
          <m:r>
            <m:t>29</m:t>
          </m:r>
          <m:r>
            <m:t>,</m:t>
          </m:r>
          <m:r>
            <m:t>16</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y</m:t>
              </m:r>
            </m:sub>
          </m:sSub>
          <m:r>
            <m:t>=</m:t>
          </m:r>
          <m:f>
            <m:fPr>
              <m:type m:val="bar"/>
            </m:fPr>
            <m:num>
              <m:r>
                <m:t>7360.0</m:t>
              </m:r>
              <m:r>
                <m:t>+</m:t>
              </m:r>
              <m:r>
                <m:t>47368</m:t>
              </m:r>
              <m:r>
                <m:t>,</m:t>
              </m:r>
              <m:r>
                <m:t>42.0</m:t>
              </m:r>
              <m:r>
                <m:t>+</m:t>
              </m:r>
              <m:r>
                <m:t>63157</m:t>
              </m:r>
              <m:r>
                <m:t>,</m:t>
              </m:r>
              <m:r>
                <m:t>89.52</m:t>
              </m:r>
              <m:r>
                <m:t>.83</m:t>
              </m:r>
              <m:r>
                <m:t>+</m:t>
              </m:r>
              <m:r>
                <m:t>22080.98</m:t>
              </m:r>
              <m:r>
                <m:t>.52</m:t>
              </m:r>
            </m:num>
            <m:den>
              <m:r>
                <m:t>139966</m:t>
              </m:r>
            </m:den>
          </m:f>
        </m:oMath>
      </m:oMathPara>
    </w:p>
    <w:p>
      <w:pPr>
        <w:pStyle w:val="FirstParagraph"/>
      </w:pPr>
      <m:oMathPara>
        <m:oMathParaPr>
          <m:jc m:val="center"/>
        </m:oMathParaPr>
        <m:oMath>
          <m:r>
            <m:t>P</m:t>
          </m:r>
          <m:r>
            <m:t>o</m:t>
          </m:r>
          <m:sSub>
            <m:e>
              <m:r>
                <m:t>s</m:t>
              </m:r>
            </m:e>
            <m:sub>
              <m:r>
                <m:t>y</m:t>
              </m:r>
            </m:sub>
          </m:sSub>
          <m:r>
            <m:t>=</m:t>
          </m:r>
          <m:r>
            <m:t>39</m:t>
          </m:r>
          <m:r>
            <m:t>,</m:t>
          </m:r>
          <m:r>
            <m:t>38</m:t>
          </m:r>
        </m:oMath>
      </m:oMathPara>
    </w:p>
    <w:p>
      <w:pPr>
        <w:pStyle w:val="Heading2"/>
      </w:pPr>
      <w:bookmarkStart w:id="27" w:name="se6"/>
      <w:r>
        <w:t xml:space="preserve">SE6</w:t>
      </w:r>
      <w:bookmarkEnd w:id="27"/>
    </w:p>
    <w:p>
      <w:pPr>
        <w:pStyle w:val="FirstParagraph"/>
      </w:pPr>
      <w:r>
        <w:t xml:space="preserve">O ponto de referencia para a região do laboratório foi o canto superior direito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66240.14</m:t>
              </m:r>
              <m:r>
                <m:t>,</m:t>
              </m:r>
              <m:r>
                <m:t>72</m:t>
              </m:r>
              <m:r>
                <m:t>+</m:t>
              </m:r>
              <m:r>
                <m:t>40000.4</m:t>
              </m:r>
              <m:r>
                <m:t>,</m:t>
              </m:r>
              <m:r>
                <m:t>9</m:t>
              </m:r>
            </m:num>
            <m:den>
              <m:r>
                <m:t>106240</m:t>
              </m:r>
            </m:den>
          </m:f>
        </m:oMath>
      </m:oMathPara>
    </w:p>
    <w:p>
      <w:pPr>
        <w:pStyle w:val="FirstParagraph"/>
      </w:pPr>
      <m:oMathPara>
        <m:oMathParaPr>
          <m:jc m:val="center"/>
        </m:oMathParaPr>
        <m:oMath>
          <m:r>
            <m:t>P</m:t>
          </m:r>
          <m:r>
            <m:t>o</m:t>
          </m:r>
          <m:sSub>
            <m:e>
              <m:r>
                <m:t>s</m:t>
              </m:r>
            </m:e>
            <m:sub>
              <m:r>
                <m:t>x</m:t>
              </m:r>
            </m:sub>
          </m:sSub>
          <m:r>
            <m:t>=</m:t>
          </m:r>
          <m:r>
            <m:t>11</m:t>
          </m:r>
          <m:r>
            <m:t>,</m:t>
          </m:r>
          <m:r>
            <m:t>02</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66240.0</m:t>
              </m:r>
              <m:r>
                <m:t>.90</m:t>
              </m:r>
              <m:r>
                <m:t>+</m:t>
              </m:r>
              <m:r>
                <m:t>40000.42</m:t>
              </m:r>
              <m:r>
                <m:t>.48</m:t>
              </m:r>
            </m:num>
            <m:den>
              <m:r>
                <m:t>106240</m:t>
              </m:r>
            </m:den>
          </m:f>
        </m:oMath>
      </m:oMathPara>
    </w:p>
    <w:p>
      <w:pPr>
        <w:pStyle w:val="FirstParagraph"/>
      </w:pPr>
      <m:oMathPara>
        <m:oMathParaPr>
          <m:jc m:val="center"/>
        </m:oMathParaPr>
        <m:oMath>
          <m:r>
            <m:t>P</m:t>
          </m:r>
          <m:r>
            <m:t>o</m:t>
          </m:r>
          <m:sSub>
            <m:e>
              <m:r>
                <m:t>s</m:t>
              </m:r>
            </m:e>
            <m:sub>
              <m:r>
                <m:t>y</m:t>
              </m:r>
            </m:sub>
          </m:sSub>
          <m:r>
            <m:t>=</m:t>
          </m:r>
          <m:r>
            <m:t>16</m:t>
          </m:r>
          <m:r>
            <m:t>,</m:t>
          </m:r>
          <m:r>
            <m:t>56</m:t>
          </m:r>
        </m:oMath>
      </m:oMathPara>
    </w:p>
    <w:p>
      <w:pPr>
        <w:pStyle w:val="Heading2"/>
      </w:pPr>
      <w:bookmarkStart w:id="28" w:name="se7"/>
      <w:r>
        <w:t xml:space="preserve">SE7</w:t>
      </w:r>
      <w:bookmarkEnd w:id="28"/>
    </w:p>
    <w:p>
      <w:pPr>
        <w:pStyle w:val="FirstParagraph"/>
      </w:pPr>
      <w:r>
        <w:t xml:space="preserve">Para o bloco administrativo, foi considerado que as cargas de iluminação e de TUGs estão distribuídas uniformemente. Então, optou-se por colocar a subestação o mais próximo possível do sistema de ar condicionado, a fim de dar continuidade ao sistema de distribuição e reduzir o uso de materiais.</w:t>
      </w:r>
    </w:p>
    <w:p>
      <w:pPr>
        <w:pStyle w:val="Heading2"/>
      </w:pPr>
      <w:bookmarkStart w:id="29" w:name="distribuição-das-ses-e-ponto-de-entrega"/>
      <w:r>
        <w:t xml:space="preserve">Distribuição das SEs e Ponto de entrega</w:t>
      </w:r>
      <w:bookmarkEnd w:id="29"/>
    </w:p>
    <w:p>
      <w:pPr>
        <w:pStyle w:val="FirstParagraph"/>
      </w:pPr>
      <w:r>
        <w:t xml:space="preserve">Com todas as regiões calculadas, basta estipular os melhores valores possíveis para cada subestação, e com esses valores, encontrar a melhor localização do ponto de entrega. A tabela a seguir apresenta os valores calculados (posições relativas já citadas) e os valores optados(posição total, com a origem no canto inferior direito da planta baixa).</w:t>
      </w:r>
    </w:p>
    <w:tbl>
      <w:tblPr>
        <w:tblStyle w:val="Table"/>
        <w:tblW w:type="pct" w:w="0.0"/>
        <w:tblLook w:firstRow="1"/>
      </w:tblPr>
      <w:tblGrid/>
      <w:tr>
        <w:trPr>
          <w:cnfStyle w:firstRow="1"/>
        </w:trPr>
        <w:tc>
          <w:tcPr>
            <w:tcBorders>
              <w:bottom w:val="single"/>
            </w:tcBorders>
            <w:vAlign w:val="bottom"/>
          </w:tcPr>
          <w:p>
            <w:pPr>
              <w:pStyle w:val="Compact"/>
              <w:jc w:val="left"/>
            </w:pPr>
            <w:r>
              <w:t xml:space="preserve">Local</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x calc</w:t>
            </w:r>
          </w:p>
        </w:tc>
        <w:tc>
          <w:tcPr>
            <w:tcBorders>
              <w:bottom w:val="single"/>
            </w:tcBorders>
            <w:vAlign w:val="bottom"/>
          </w:tcPr>
          <w:p>
            <w:pPr>
              <w:pStyle w:val="Compact"/>
              <w:jc w:val="left"/>
            </w:pPr>
            <w:r>
              <w:t xml:space="preserve">y calc</w:t>
            </w:r>
          </w:p>
        </w:tc>
        <w:tc>
          <w:tcPr>
            <w:tcBorders>
              <w:bottom w:val="single"/>
            </w:tcBorders>
            <w:vAlign w:val="bottom"/>
          </w:tcPr>
          <w:p>
            <w:pPr>
              <w:pStyle w:val="Compact"/>
              <w:jc w:val="left"/>
            </w:pPr>
            <w:r>
              <w:t xml:space="preserve">x real</w:t>
            </w:r>
          </w:p>
        </w:tc>
        <w:tc>
          <w:tcPr>
            <w:tcBorders>
              <w:bottom w:val="single"/>
            </w:tcBorders>
            <w:vAlign w:val="bottom"/>
          </w:tcPr>
          <w:p>
            <w:pPr>
              <w:pStyle w:val="Compact"/>
              <w:jc w:val="left"/>
            </w:pPr>
            <w:r>
              <w:t xml:space="preserve">y real</w:t>
            </w:r>
          </w:p>
        </w:tc>
      </w:tr>
      <w:tr>
        <w:tc>
          <w:p>
            <w:pPr>
              <w:pStyle w:val="Compact"/>
              <w:jc w:val="left"/>
            </w:pPr>
            <w:r>
              <w:t xml:space="preserve">Fabrica 1</w:t>
            </w:r>
          </w:p>
        </w:tc>
        <w:tc>
          <w:p>
            <w:pPr>
              <w:pStyle w:val="Compact"/>
              <w:jc w:val="left"/>
            </w:pPr>
            <w:r>
              <w:t xml:space="preserve">1</w:t>
            </w:r>
          </w:p>
        </w:tc>
        <w:tc>
          <w:p>
            <w:pPr>
              <w:pStyle w:val="Compact"/>
              <w:jc w:val="left"/>
            </w:pPr>
            <w:r>
              <w:t xml:space="preserve">155,92</w:t>
            </w:r>
          </w:p>
        </w:tc>
        <w:tc>
          <w:p>
            <w:pPr>
              <w:pStyle w:val="Compact"/>
              <w:jc w:val="left"/>
            </w:pPr>
            <w:r>
              <w:t xml:space="preserve">37,96</w:t>
            </w:r>
          </w:p>
        </w:tc>
        <w:tc>
          <w:p>
            <w:pPr>
              <w:pStyle w:val="Compact"/>
              <w:jc w:val="left"/>
            </w:pPr>
            <w:r>
              <w:t xml:space="preserve">665</w:t>
            </w:r>
          </w:p>
        </w:tc>
        <w:tc>
          <w:p>
            <w:pPr>
              <w:pStyle w:val="Compact"/>
              <w:jc w:val="left"/>
            </w:pPr>
            <w:r>
              <w:t xml:space="preserve">191,5</w:t>
            </w:r>
          </w:p>
        </w:tc>
      </w:tr>
      <w:tr>
        <w:tc>
          <w:p>
            <w:pPr>
              <w:pStyle w:val="Compact"/>
              <w:jc w:val="left"/>
            </w:pPr>
            <w:r>
              <w:t xml:space="preserve">Centro de convivência</w:t>
            </w:r>
          </w:p>
        </w:tc>
        <w:tc>
          <w:p>
            <w:pPr>
              <w:pStyle w:val="Compact"/>
              <w:jc w:val="left"/>
            </w:pPr>
            <w:r>
              <w:t xml:space="preserve">2</w:t>
            </w:r>
          </w:p>
        </w:tc>
        <w:tc>
          <w:p>
            <w:pPr>
              <w:pStyle w:val="Compact"/>
              <w:jc w:val="left"/>
            </w:pPr>
            <w:r>
              <w:t xml:space="preserve">27,60</w:t>
            </w:r>
          </w:p>
        </w:tc>
        <w:tc>
          <w:p>
            <w:pPr>
              <w:pStyle w:val="Compact"/>
              <w:jc w:val="left"/>
            </w:pPr>
            <w:r>
              <w:t xml:space="preserve">84,39</w:t>
            </w:r>
          </w:p>
        </w:tc>
        <w:tc>
          <w:p>
            <w:pPr>
              <w:pStyle w:val="Compact"/>
              <w:jc w:val="left"/>
            </w:pPr>
            <w:r>
              <w:t xml:space="preserve">1087,8</w:t>
            </w:r>
          </w:p>
        </w:tc>
        <w:tc>
          <w:p>
            <w:pPr>
              <w:pStyle w:val="Compact"/>
              <w:jc w:val="left"/>
            </w:pPr>
            <w:r>
              <w:t xml:space="preserve">690,7</w:t>
            </w:r>
          </w:p>
        </w:tc>
      </w:tr>
      <w:tr>
        <w:tc>
          <w:p>
            <w:pPr>
              <w:pStyle w:val="Compact"/>
              <w:jc w:val="left"/>
            </w:pPr>
            <w:r>
              <w:t xml:space="preserve">Fábrica 2</w:t>
            </w:r>
          </w:p>
        </w:tc>
        <w:tc>
          <w:p>
            <w:pPr>
              <w:pStyle w:val="Compact"/>
              <w:jc w:val="left"/>
            </w:pPr>
            <w:r>
              <w:t xml:space="preserve">3</w:t>
            </w:r>
          </w:p>
        </w:tc>
        <w:tc>
          <w:p>
            <w:pPr>
              <w:pStyle w:val="Compact"/>
              <w:jc w:val="left"/>
            </w:pPr>
            <w:r>
              <w:t xml:space="preserve">31,48</w:t>
            </w:r>
          </w:p>
        </w:tc>
        <w:tc>
          <w:p>
            <w:pPr>
              <w:pStyle w:val="Compact"/>
              <w:jc w:val="left"/>
            </w:pPr>
            <w:r>
              <w:t xml:space="preserve">49,39</w:t>
            </w:r>
          </w:p>
        </w:tc>
        <w:tc>
          <w:p>
            <w:pPr>
              <w:pStyle w:val="Compact"/>
              <w:jc w:val="left"/>
            </w:pPr>
            <w:r>
              <w:t xml:space="preserve">135,22</w:t>
            </w:r>
          </w:p>
        </w:tc>
        <w:tc>
          <w:p>
            <w:pPr>
              <w:pStyle w:val="Compact"/>
              <w:jc w:val="left"/>
            </w:pPr>
            <w:r>
              <w:t xml:space="preserve">436,36</w:t>
            </w:r>
          </w:p>
        </w:tc>
      </w:tr>
      <w:tr>
        <w:tc>
          <w:p>
            <w:pPr>
              <w:pStyle w:val="Compact"/>
              <w:jc w:val="left"/>
            </w:pPr>
            <w:r>
              <w:t xml:space="preserve">Depósitos 1 e 2</w:t>
            </w:r>
          </w:p>
        </w:tc>
        <w:tc>
          <w:p>
            <w:pPr>
              <w:pStyle w:val="Compact"/>
              <w:jc w:val="left"/>
            </w:pPr>
            <w:r>
              <w:t xml:space="preserve">4</w:t>
            </w:r>
          </w:p>
        </w:tc>
        <w:tc>
          <w:p>
            <w:pPr>
              <w:pStyle w:val="Compact"/>
              <w:jc w:val="left"/>
            </w:pPr>
            <w:r>
              <w:t xml:space="preserve">125,51</w:t>
            </w:r>
          </w:p>
        </w:tc>
        <w:tc>
          <w:p>
            <w:pPr>
              <w:pStyle w:val="Compact"/>
              <w:jc w:val="left"/>
            </w:pPr>
            <w:r>
              <w:t xml:space="preserve">307,76</w:t>
            </w:r>
          </w:p>
        </w:tc>
        <w:tc>
          <w:p>
            <w:pPr>
              <w:pStyle w:val="Compact"/>
              <w:jc w:val="left"/>
            </w:pPr>
            <w:r>
              <w:t xml:space="preserve">125</w:t>
            </w:r>
          </w:p>
        </w:tc>
        <w:tc>
          <w:p>
            <w:pPr>
              <w:pStyle w:val="Compact"/>
              <w:jc w:val="left"/>
            </w:pPr>
            <w:r>
              <w:t xml:space="preserve">308</w:t>
            </w:r>
          </w:p>
        </w:tc>
      </w:tr>
      <w:tr>
        <w:tc>
          <w:p>
            <w:pPr>
              <w:pStyle w:val="Compact"/>
              <w:jc w:val="left"/>
            </w:pPr>
            <w:r>
              <w:t xml:space="preserve">Oficina</w:t>
            </w:r>
          </w:p>
        </w:tc>
        <w:tc>
          <w:p>
            <w:pPr>
              <w:pStyle w:val="Compact"/>
              <w:jc w:val="left"/>
            </w:pPr>
            <w:r>
              <w:t xml:space="preserve">5</w:t>
            </w:r>
          </w:p>
        </w:tc>
        <w:tc>
          <w:p>
            <w:pPr>
              <w:pStyle w:val="Compact"/>
              <w:jc w:val="left"/>
            </w:pPr>
            <w:r>
              <w:t xml:space="preserve">29,16</w:t>
            </w:r>
          </w:p>
        </w:tc>
        <w:tc>
          <w:p>
            <w:pPr>
              <w:pStyle w:val="Compact"/>
              <w:jc w:val="left"/>
            </w:pPr>
            <w:r>
              <w:t xml:space="preserve">39,38</w:t>
            </w:r>
          </w:p>
        </w:tc>
        <w:tc>
          <w:p>
            <w:pPr>
              <w:pStyle w:val="Compact"/>
              <w:jc w:val="left"/>
            </w:pPr>
            <w:r>
              <w:t xml:space="preserve">1087,8</w:t>
            </w:r>
          </w:p>
        </w:tc>
        <w:tc>
          <w:p>
            <w:pPr>
              <w:pStyle w:val="Compact"/>
              <w:jc w:val="left"/>
            </w:pPr>
            <w:r>
              <w:t xml:space="preserve">690,7</w:t>
            </w:r>
          </w:p>
        </w:tc>
      </w:tr>
      <w:tr>
        <w:tc>
          <w:p>
            <w:pPr>
              <w:pStyle w:val="Compact"/>
              <w:jc w:val="left"/>
            </w:pPr>
            <w:r>
              <w:t xml:space="preserve">Laboratório</w:t>
            </w:r>
          </w:p>
        </w:tc>
        <w:tc>
          <w:p>
            <w:pPr>
              <w:pStyle w:val="Compact"/>
              <w:jc w:val="left"/>
            </w:pPr>
            <w:r>
              <w:t xml:space="preserve">6</w:t>
            </w:r>
          </w:p>
        </w:tc>
        <w:tc>
          <w:p>
            <w:pPr>
              <w:pStyle w:val="Compact"/>
              <w:jc w:val="left"/>
            </w:pPr>
            <w:r>
              <w:t xml:space="preserve">11,02</w:t>
            </w:r>
          </w:p>
        </w:tc>
        <w:tc>
          <w:p>
            <w:pPr>
              <w:pStyle w:val="Compact"/>
              <w:jc w:val="left"/>
            </w:pPr>
            <w:r>
              <w:t xml:space="preserve">16,56</w:t>
            </w:r>
          </w:p>
        </w:tc>
        <w:tc>
          <w:p>
            <w:pPr>
              <w:pStyle w:val="Compact"/>
              <w:jc w:val="left"/>
            </w:pPr>
            <w:r>
              <w:t xml:space="preserve">8</w:t>
            </w:r>
          </w:p>
        </w:tc>
        <w:tc>
          <w:p>
            <w:pPr>
              <w:pStyle w:val="Compact"/>
              <w:jc w:val="left"/>
            </w:pPr>
            <w:r>
              <w:t xml:space="preserve">170</w:t>
            </w:r>
          </w:p>
        </w:tc>
      </w:tr>
      <w:tr>
        <w:tc>
          <w:p>
            <w:pPr>
              <w:pStyle w:val="Compact"/>
              <w:jc w:val="left"/>
            </w:pPr>
            <w:r>
              <w:t xml:space="preserve">Administrativo</w:t>
            </w:r>
          </w:p>
        </w:tc>
        <w:tc>
          <w:p>
            <w:pPr>
              <w:pStyle w:val="Compact"/>
              <w:jc w:val="left"/>
            </w:pPr>
            <w:r>
              <w:t xml:space="preserve">7</w:t>
            </w:r>
          </w:p>
        </w:tc>
        <w:tc>
          <w:p>
            <w:pPr>
              <w:pStyle w:val="Compact"/>
              <w:jc w:val="left"/>
            </w:pPr>
            <w:r>
              <w:t xml:space="preserve">322,11</w:t>
            </w:r>
          </w:p>
        </w:tc>
        <w:tc>
          <w:p>
            <w:pPr>
              <w:pStyle w:val="Compact"/>
              <w:jc w:val="left"/>
            </w:pPr>
            <w:r>
              <w:t xml:space="preserve">109.89</w:t>
            </w:r>
          </w:p>
        </w:tc>
        <w:tc>
          <w:p>
            <w:pPr>
              <w:pStyle w:val="Compact"/>
              <w:jc w:val="left"/>
            </w:pPr>
            <w:r>
              <w:t xml:space="preserve">322,11</w:t>
            </w:r>
          </w:p>
        </w:tc>
        <w:tc>
          <w:p>
            <w:pPr>
              <w:pStyle w:val="Compact"/>
              <w:jc w:val="left"/>
            </w:pPr>
            <w:r>
              <w:t xml:space="preserve">109.89</w:t>
            </w:r>
          </w:p>
        </w:tc>
      </w:tr>
      <w:tr>
        <w:tc>
          <w:p>
            <w:pPr>
              <w:pStyle w:val="Compact"/>
              <w:jc w:val="left"/>
            </w:pPr>
            <w:r>
              <w:t xml:space="preserve">Ponto de Entrega</w:t>
            </w:r>
          </w:p>
        </w:tc>
        <w:tc>
          <w:p/>
        </w:tc>
        <w:tc>
          <w:p>
            <w:pPr>
              <w:pStyle w:val="Compact"/>
              <w:jc w:val="left"/>
            </w:pPr>
            <w:r>
              <w:t xml:space="preserve">398,8</w:t>
            </w:r>
          </w:p>
        </w:tc>
        <w:tc>
          <w:p>
            <w:pPr>
              <w:pStyle w:val="Compact"/>
              <w:jc w:val="left"/>
            </w:pPr>
            <w:r>
              <w:t xml:space="preserve">337,33</w:t>
            </w:r>
          </w:p>
        </w:tc>
        <w:tc>
          <w:p>
            <w:pPr>
              <w:pStyle w:val="Compact"/>
              <w:jc w:val="left"/>
            </w:pPr>
            <w:r>
              <w:t xml:space="preserve">374.56</w:t>
            </w:r>
          </w:p>
        </w:tc>
        <w:tc>
          <w:p>
            <w:pPr>
              <w:pStyle w:val="Compact"/>
              <w:jc w:val="left"/>
            </w:pPr>
            <w:r>
              <w:t xml:space="preserve">10</w:t>
            </w:r>
          </w:p>
        </w:tc>
      </w:tr>
    </w:tbl>
    <w:p>
      <w:pPr>
        <w:pStyle w:val="Heading2"/>
      </w:pPr>
      <w:bookmarkStart w:id="30" w:name="unifilar"/>
      <w:r>
        <w:t xml:space="preserve">Unifilar</w:t>
      </w:r>
      <w:bookmarkEnd w:id="30"/>
    </w:p>
    <w:p>
      <w:pPr>
        <w:pStyle w:val="FirstParagraph"/>
      </w:pPr>
      <w:r>
        <w:t xml:space="preserve">Os quesitos para a conclusão do unifilar(se quiserem conferir e mandar alguma observação fiquem à vontade):</w:t>
      </w:r>
    </w:p>
    <w:p>
      <w:pPr>
        <w:pStyle w:val="Compact"/>
        <w:numPr>
          <w:numId w:val="1001"/>
          <w:ilvl w:val="0"/>
        </w:numPr>
      </w:pPr>
      <w:r>
        <w:t xml:space="preserve">☒ Apresentação folha padrão ABNT com margem e legenda</w:t>
      </w:r>
    </w:p>
    <w:p>
      <w:pPr>
        <w:pStyle w:val="Compact"/>
        <w:numPr>
          <w:numId w:val="1001"/>
          <w:ilvl w:val="0"/>
        </w:numPr>
      </w:pPr>
      <w:r>
        <w:t xml:space="preserve">☒ Indicação e identificação das SE’s</w:t>
      </w:r>
    </w:p>
    <w:p>
      <w:pPr>
        <w:pStyle w:val="Compact"/>
        <w:numPr>
          <w:numId w:val="1001"/>
          <w:ilvl w:val="0"/>
        </w:numPr>
      </w:pPr>
      <w:r>
        <w:t xml:space="preserve">☐ Indicação e identificação dos trafos (potência e tensões pelo menos)</w:t>
      </w:r>
    </w:p>
    <w:p>
      <w:pPr>
        <w:pStyle w:val="Compact"/>
        <w:numPr>
          <w:numId w:val="1001"/>
          <w:ilvl w:val="0"/>
        </w:numPr>
      </w:pPr>
      <w:r>
        <w:t xml:space="preserve">☒ Indicação do esquema de aterramento adotado em cada trafo</w:t>
      </w:r>
    </w:p>
    <w:p>
      <w:pPr>
        <w:pStyle w:val="Compact"/>
        <w:numPr>
          <w:numId w:val="1001"/>
          <w:ilvl w:val="0"/>
        </w:numPr>
      </w:pPr>
      <w:r>
        <w:t xml:space="preserve">☒ Indicação e identificação dos quadros gerais de distribuição</w:t>
      </w:r>
    </w:p>
    <w:p>
      <w:pPr>
        <w:pStyle w:val="Compact"/>
        <w:numPr>
          <w:numId w:val="1001"/>
          <w:ilvl w:val="0"/>
        </w:numPr>
      </w:pPr>
      <w:r>
        <w:t xml:space="preserve">☒ Indicação e identificação dos quadros terminais de cargas</w:t>
      </w:r>
    </w:p>
    <w:p>
      <w:pPr>
        <w:pStyle w:val="Compact"/>
        <w:numPr>
          <w:numId w:val="1001"/>
          <w:ilvl w:val="0"/>
        </w:numPr>
      </w:pPr>
      <w:r>
        <w:t xml:space="preserve">☒ Indicação, identificação e especificação do grupo motor gerador</w:t>
      </w:r>
    </w:p>
    <w:p>
      <w:pPr>
        <w:pStyle w:val="Compact"/>
        <w:numPr>
          <w:numId w:val="1001"/>
          <w:ilvl w:val="0"/>
        </w:numPr>
      </w:pPr>
      <w:r>
        <w:t xml:space="preserve">☒ Indicação, identificação e ligações do QTA</w:t>
      </w:r>
    </w:p>
    <w:p>
      <w:pPr>
        <w:pStyle w:val="Compact"/>
        <w:numPr>
          <w:numId w:val="1001"/>
          <w:ilvl w:val="0"/>
        </w:numPr>
      </w:pPr>
      <w:r>
        <w:t xml:space="preserve">☒ Indicação dos alimentadores de M.T</w:t>
      </w:r>
    </w:p>
    <w:p>
      <w:pPr>
        <w:pStyle w:val="Compact"/>
        <w:numPr>
          <w:numId w:val="1001"/>
          <w:ilvl w:val="0"/>
        </w:numPr>
      </w:pPr>
      <w:r>
        <w:t xml:space="preserve">☒ Indicação dos alimentadores de B.T</w:t>
      </w:r>
    </w:p>
    <w:p>
      <w:pPr>
        <w:pStyle w:val="Compact"/>
        <w:numPr>
          <w:numId w:val="1001"/>
          <w:ilvl w:val="0"/>
        </w:numPr>
      </w:pPr>
      <w:r>
        <w:t xml:space="preserve">☒ Indicação, identificação e especificação dos bancos de capacitores</w:t>
      </w:r>
    </w:p>
    <w:p>
      <w:pPr>
        <w:pStyle w:val="Compact"/>
        <w:numPr>
          <w:numId w:val="1001"/>
          <w:ilvl w:val="0"/>
        </w:numPr>
      </w:pPr>
      <w:r>
        <w:t xml:space="preserve">☒ Indicação, identificação e especificação da usina fotovoltaica (até inversores)</w:t>
      </w:r>
    </w:p>
    <w:p>
      <w:pPr>
        <w:pStyle w:val="Compact"/>
        <w:numPr>
          <w:numId w:val="1001"/>
          <w:ilvl w:val="0"/>
        </w:numPr>
      </w:pPr>
      <w:r>
        <w:t xml:space="preserve">☒ identifição do nobreak</w:t>
      </w:r>
    </w:p>
    <w:p>
      <w:pPr>
        <w:pStyle w:val="FirstParagraph"/>
      </w:pPr>
      <w:r>
        <w:t xml:space="preserve">Gerações de energia no estabelecimento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Lugar</w:t>
            </w:r>
          </w:p>
        </w:tc>
        <w:tc>
          <w:tcPr>
            <w:tcBorders>
              <w:bottom w:val="single"/>
            </w:tcBorders>
            <w:vAlign w:val="bottom"/>
          </w:tcPr>
          <w:p>
            <w:pPr>
              <w:pStyle w:val="Compact"/>
              <w:jc w:val="left"/>
            </w:pPr>
            <w:r>
              <w:t xml:space="preserve">subestacao</w:t>
            </w:r>
          </w:p>
        </w:tc>
        <w:tc>
          <w:tcPr>
            <w:tcBorders>
              <w:bottom w:val="single"/>
            </w:tcBorders>
            <w:vAlign w:val="bottom"/>
          </w:tcPr>
          <w:p>
            <w:pPr>
              <w:pStyle w:val="Compact"/>
              <w:jc w:val="left"/>
            </w:pPr>
            <w:r>
              <w:t xml:space="preserve">Usina</w:t>
            </w:r>
          </w:p>
        </w:tc>
        <w:tc>
          <w:tcPr>
            <w:tcBorders>
              <w:bottom w:val="single"/>
            </w:tcBorders>
            <w:vAlign w:val="bottom"/>
          </w:tcPr>
          <w:p>
            <w:pPr>
              <w:pStyle w:val="Compact"/>
              <w:jc w:val="left"/>
            </w:pPr>
            <w:r>
              <w:t xml:space="preserve">ok</w:t>
            </w:r>
          </w:p>
        </w:tc>
      </w:tr>
      <w:tr>
        <w:tc>
          <w:p>
            <w:pPr>
              <w:pStyle w:val="Compact"/>
              <w:jc w:val="left"/>
            </w:pPr>
            <w:r>
              <w:t xml:space="preserve">fabrica 1</w:t>
            </w:r>
          </w:p>
        </w:tc>
        <w:tc>
          <w:p>
            <w:pPr>
              <w:pStyle w:val="Compact"/>
              <w:jc w:val="left"/>
            </w:pPr>
            <w:r>
              <w:t xml:space="preserve">SE1</w:t>
            </w:r>
          </w:p>
        </w:tc>
        <w:tc>
          <w:p>
            <w:pPr>
              <w:pStyle w:val="Compact"/>
              <w:jc w:val="left"/>
            </w:pPr>
            <w:r>
              <w:t xml:space="preserve">500 paineis 325W</w:t>
            </w:r>
          </w:p>
        </w:tc>
        <w:tc>
          <w:p>
            <w:pPr>
              <w:pStyle w:val="Compact"/>
              <w:jc w:val="left"/>
            </w:pPr>
            <w:r>
              <w:t xml:space="preserve">[x]</w:t>
            </w:r>
          </w:p>
        </w:tc>
      </w:tr>
      <w:tr>
        <w:tc>
          <w:p>
            <w:pPr>
              <w:pStyle w:val="Compact"/>
              <w:jc w:val="left"/>
            </w:pPr>
            <w:r>
              <w:t xml:space="preserve">centro conv</w:t>
            </w:r>
          </w:p>
        </w:tc>
        <w:tc>
          <w:p>
            <w:pPr>
              <w:pStyle w:val="Compact"/>
              <w:jc w:val="left"/>
            </w:pPr>
            <w:r>
              <w:t xml:space="preserve">SE2</w:t>
            </w:r>
          </w:p>
        </w:tc>
        <w:tc>
          <w:p>
            <w:pPr>
              <w:pStyle w:val="Compact"/>
              <w:jc w:val="left"/>
            </w:pPr>
            <w:r>
              <w:t xml:space="preserve">nada</w:t>
            </w:r>
          </w:p>
        </w:tc>
        <w:tc>
          <w:p>
            <w:pPr>
              <w:pStyle w:val="Compact"/>
              <w:jc w:val="left"/>
            </w:pPr>
            <w:r>
              <w:t xml:space="preserve">[x]</w:t>
            </w:r>
          </w:p>
        </w:tc>
      </w:tr>
      <w:tr>
        <w:tc>
          <w:p>
            <w:pPr>
              <w:pStyle w:val="Compact"/>
              <w:jc w:val="left"/>
            </w:pPr>
            <w:r>
              <w:t xml:space="preserve">f_02</w:t>
            </w:r>
          </w:p>
        </w:tc>
        <w:tc>
          <w:p>
            <w:pPr>
              <w:pStyle w:val="Compact"/>
              <w:jc w:val="left"/>
            </w:pPr>
            <w:r>
              <w:t xml:space="preserve">SE3</w:t>
            </w:r>
          </w:p>
        </w:tc>
        <w:tc>
          <w:p>
            <w:pPr>
              <w:pStyle w:val="Compact"/>
              <w:jc w:val="left"/>
            </w:pPr>
            <w:r>
              <w:t xml:space="preserve">150 paineis de 325W</w:t>
            </w:r>
          </w:p>
        </w:tc>
        <w:tc>
          <w:p>
            <w:pPr>
              <w:pStyle w:val="Compact"/>
              <w:jc w:val="left"/>
            </w:pPr>
            <w:r>
              <w:t xml:space="preserve">[x]</w:t>
            </w:r>
          </w:p>
        </w:tc>
      </w:tr>
      <w:tr>
        <w:tc>
          <w:p>
            <w:pPr>
              <w:pStyle w:val="Compact"/>
              <w:jc w:val="left"/>
            </w:pPr>
            <w:r>
              <w:t xml:space="preserve">dep1 e 2</w:t>
            </w:r>
          </w:p>
        </w:tc>
        <w:tc>
          <w:p>
            <w:pPr>
              <w:pStyle w:val="Compact"/>
              <w:jc w:val="left"/>
            </w:pPr>
            <w:r>
              <w:t xml:space="preserve">SE4</w:t>
            </w:r>
          </w:p>
        </w:tc>
        <w:tc>
          <w:p>
            <w:pPr>
              <w:pStyle w:val="Compact"/>
              <w:jc w:val="left"/>
            </w:pPr>
            <w:r>
              <w:t xml:space="preserve">nada</w:t>
            </w:r>
          </w:p>
        </w:tc>
        <w:tc>
          <w:p>
            <w:pPr>
              <w:pStyle w:val="Compact"/>
              <w:jc w:val="left"/>
            </w:pPr>
            <w:r>
              <w:t xml:space="preserve">[x]</w:t>
            </w:r>
          </w:p>
        </w:tc>
      </w:tr>
      <w:tr>
        <w:tc>
          <w:p>
            <w:pPr>
              <w:pStyle w:val="Compact"/>
              <w:jc w:val="left"/>
            </w:pPr>
            <w:r>
              <w:t xml:space="preserve">oficina</w:t>
            </w:r>
          </w:p>
        </w:tc>
        <w:tc>
          <w:p>
            <w:pPr>
              <w:pStyle w:val="Compact"/>
              <w:jc w:val="left"/>
            </w:pPr>
            <w:r>
              <w:t xml:space="preserve">SE5</w:t>
            </w:r>
          </w:p>
        </w:tc>
        <w:tc>
          <w:p>
            <w:pPr>
              <w:pStyle w:val="Compact"/>
              <w:jc w:val="left"/>
            </w:pPr>
            <w:r>
              <w:t xml:space="preserve">150 Fotovoltaicos 325W</w:t>
            </w:r>
          </w:p>
        </w:tc>
        <w:tc>
          <w:p>
            <w:pPr>
              <w:pStyle w:val="Compact"/>
              <w:jc w:val="left"/>
            </w:pPr>
            <w:r>
              <w:t xml:space="preserve">[x]</w:t>
            </w:r>
          </w:p>
        </w:tc>
      </w:tr>
      <w:tr>
        <w:tc>
          <w:p>
            <w:pPr>
              <w:pStyle w:val="Compact"/>
              <w:jc w:val="left"/>
            </w:pPr>
            <w:r>
              <w:t xml:space="preserve">lab</w:t>
            </w:r>
          </w:p>
        </w:tc>
        <w:tc>
          <w:p>
            <w:pPr>
              <w:pStyle w:val="Compact"/>
              <w:jc w:val="left"/>
            </w:pPr>
            <w:r>
              <w:t xml:space="preserve">SE6</w:t>
            </w:r>
          </w:p>
        </w:tc>
        <w:tc>
          <w:p>
            <w:pPr>
              <w:pStyle w:val="Compact"/>
              <w:jc w:val="left"/>
            </w:pPr>
            <w:r>
              <w:t xml:space="preserve">geracao diesel (40kVA)</w:t>
            </w:r>
          </w:p>
        </w:tc>
        <w:tc>
          <w:p>
            <w:pPr>
              <w:pStyle w:val="Compact"/>
              <w:jc w:val="left"/>
            </w:pPr>
            <w:r>
              <w:t xml:space="preserve">[x]</w:t>
            </w:r>
          </w:p>
        </w:tc>
      </w:tr>
      <w:tr>
        <w:tc>
          <w:p>
            <w:pPr>
              <w:pStyle w:val="Compact"/>
              <w:jc w:val="left"/>
            </w:pPr>
            <w:r>
              <w:t xml:space="preserve">adm</w:t>
            </w:r>
          </w:p>
        </w:tc>
        <w:tc>
          <w:p>
            <w:pPr>
              <w:pStyle w:val="Compact"/>
              <w:jc w:val="left"/>
            </w:pPr>
            <w:r>
              <w:t xml:space="preserve">SE7</w:t>
            </w:r>
          </w:p>
        </w:tc>
        <w:tc>
          <w:p>
            <w:pPr>
              <w:pStyle w:val="Compact"/>
              <w:jc w:val="left"/>
            </w:pPr>
            <w:r>
              <w:t xml:space="preserve">geracao propria rampa</w:t>
            </w:r>
          </w:p>
        </w:tc>
        <w:tc>
          <w:p>
            <w:pPr>
              <w:pStyle w:val="Compact"/>
              <w:jc w:val="left"/>
            </w:pPr>
            <w:r>
              <w:t xml:space="preserve">[x]</w:t>
            </w:r>
          </w:p>
        </w:tc>
      </w:tr>
    </w:tbl>
    <w:p>
      <w:pPr>
        <w:pStyle w:val="Heading2"/>
      </w:pPr>
      <w:bookmarkStart w:id="31" w:name="referências"/>
      <w:r>
        <w:t xml:space="preserve">Referências</w:t>
      </w:r>
      <w:bookmarkEnd w:id="31"/>
    </w:p>
    <w:p>
      <w:pPr>
        <w:pStyle w:val="FirstParagraph"/>
      </w:pPr>
      <w:hyperlink r:id="rId32">
        <w:r>
          <w:rPr>
            <w:rStyle w:val="Hyperlink"/>
          </w:rPr>
          <w:t xml:space="preserve">Como representei a geraçao fotovoltaica e o inversor</w:t>
        </w:r>
      </w:hyperlink>
    </w:p>
    <w:p>
      <w:pPr>
        <w:pStyle w:val="BodyText"/>
      </w:pPr>
      <w:hyperlink r:id="rId33">
        <w:r>
          <w:rPr>
            <w:rStyle w:val="Hyperlink"/>
          </w:rPr>
          <w:t xml:space="preserve">Como representei a geraçao fotovoltaica e o inversor</w:t>
        </w:r>
      </w:hyperlink>
    </w:p>
    <w:p>
      <w:pPr>
        <w:pStyle w:val="BodyText"/>
      </w:pPr>
      <w:hyperlink r:id="rId34">
        <w:r>
          <w:rPr>
            <w:rStyle w:val="Hyperlink"/>
          </w:rPr>
          <w:t xml:space="preserve">QTA</w:t>
        </w:r>
      </w:hyperlink>
    </w:p>
    <w:p>
      <w:pPr>
        <w:pStyle w:val="BodyText"/>
      </w:pPr>
      <w:hyperlink r:id="rId35">
        <w:r>
          <w:rPr>
            <w:rStyle w:val="Hyperlink"/>
          </w:rPr>
          <w:t xml:space="preserve">Representação ccm</w:t>
        </w:r>
      </w:hyperlink>
    </w:p>
    <w:p>
      <w:pPr>
        <w:pStyle w:val="BodyText"/>
      </w:pPr>
      <w:r>
        <w:t xml:space="preserve">nao encontrei representação do nobreak, fiz só um retangulo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www.cemig.com.br/pt-br/atendimento/corporativo/PublishingImages/0DUB_Diagrama_Unifilar_Basico.PNG" TargetMode="External" /><Relationship Type="http://schemas.openxmlformats.org/officeDocument/2006/relationships/hyperlink" Id="rId34" Target="http://www.naganoprodutos.com.br/novosite/upload/download/1483.pdf" TargetMode="External" /><Relationship Type="http://schemas.openxmlformats.org/officeDocument/2006/relationships/hyperlink" Id="rId32" Target="https://maisengenharia.altoqi.com.br/wp-content/uploads/2016/05/energia-fotovoltaica-4.jpg" TargetMode="External" /><Relationship Type="http://schemas.openxmlformats.org/officeDocument/2006/relationships/hyperlink" Id="rId35" Target="https://www.estudegratis.com.br/images/questoes/1d179d876db8dcc35264.gif" TargetMode="External" /></Relationships>
</file>

<file path=word/_rels/footnotes.xml.rels><?xml version="1.0" encoding="UTF-8"?>
<Relationships xmlns="http://schemas.openxmlformats.org/package/2006/relationships"><Relationship Type="http://schemas.openxmlformats.org/officeDocument/2006/relationships/hyperlink" Id="rId33" Target="http://www.cemig.com.br/pt-br/atendimento/corporativo/PublishingImages/0DUB_Diagrama_Unifilar_Basico.PNG" TargetMode="External" /><Relationship Type="http://schemas.openxmlformats.org/officeDocument/2006/relationships/hyperlink" Id="rId34" Target="http://www.naganoprodutos.com.br/novosite/upload/download/1483.pdf" TargetMode="External" /><Relationship Type="http://schemas.openxmlformats.org/officeDocument/2006/relationships/hyperlink" Id="rId32" Target="https://maisengenharia.altoqi.com.br/wp-content/uploads/2016/05/energia-fotovoltaica-4.jpg" TargetMode="External" /><Relationship Type="http://schemas.openxmlformats.org/officeDocument/2006/relationships/hyperlink" Id="rId35" Target="https://www.estudegratis.com.br/images/questoes/1d179d876db8dcc35264.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2019-09-28T00:42:13Z</dcterms:created>
  <dcterms:modified xsi:type="dcterms:W3CDTF">2019-09-28T00:42:13Z</dcterms:modified>
</cp:coreProperties>
</file>

<file path=docProps/custom.xml><?xml version="1.0" encoding="utf-8"?>
<Properties xmlns="http://schemas.openxmlformats.org/officeDocument/2006/custom-properties" xmlns:vt="http://schemas.openxmlformats.org/officeDocument/2006/docPropsVTypes"/>
</file>