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GST 2.0 — Key Impact Areas and Way Forward for Business</w:t>
      </w:r>
    </w:p>
    <w:p>
      <w:pPr>
        <w:spacing w:after="200"/>
      </w:pPr>
      <w:r>
        <w:rPr>
          <w:rFonts w:ascii="Arial" w:cs="Arial" w:eastAsia="Arial" w:hAnsi="Arial"/>
          <w:b/>
          <w:bCs/>
          <w:sz w:val="22"/>
          <w:szCs w:val="22"/>
        </w:rPr>
        <w:t xml:space="preserve">Circular Reference: </w:t>
      </w:r>
      <w:r>
        <w:rPr>
          <w:rFonts w:ascii="Arial" w:cs="Arial" w:eastAsia="Arial" w:hAnsi="Arial"/>
          <w:sz w:val="22"/>
          <w:szCs w:val="22"/>
        </w:rPr>
        <w:t xml:space="preserve">56th GST Council Meeting | Rate Rationalization effective 22 September 2025</w:t>
      </w:r>
    </w:p>
    <w:p>
      <w:pPr>
        <w:spacing w:after="200"/>
      </w:pPr>
      <w:r>
        <w:rPr>
          <w:rFonts w:ascii="Arial" w:cs="Arial" w:eastAsia="Arial" w:hAnsi="Arial"/>
          <w:b/>
          <w:bCs/>
          <w:sz w:val="22"/>
          <w:szCs w:val="22"/>
        </w:rPr>
        <w:t xml:space="preserve">In Brief: </w:t>
      </w:r>
      <w:r>
        <w:rPr>
          <w:rFonts w:ascii="Arial" w:cs="Arial" w:eastAsia="Arial" w:hAnsi="Arial"/>
          <w:sz w:val="22"/>
          <w:szCs w:val="22"/>
        </w:rPr>
        <w:t xml:space="preserve">The 56th GST Council Meeting has proposed a major rate rationalization by streamlining GST into three slabs: 5% for merit goods, 18% as the standard rate, and 40% for sin and luxury goods. Companies should proactively assess the key impact areas to ensure a smooth transition.</w:t>
      </w:r>
    </w:p>
    <w:p>
      <w:pPr>
        <w:spacing w:after="100" w:before="200"/>
      </w:pPr>
      <w:r>
        <w:rPr>
          <w:rFonts w:ascii="Arial" w:cs="Arial" w:eastAsia="Arial" w:hAnsi="Arial"/>
          <w:b/>
          <w:bCs/>
          <w:sz w:val="24"/>
          <w:szCs w:val="24"/>
        </w:rPr>
        <w:t xml:space="preserve">Key Changes</w:t>
      </w:r>
    </w:p>
    <w:p>
      <w:pPr>
        <w:pStyle w:val="ListParagraph"/>
        <w:numPr>
          <w:ilvl w:val="0"/>
          <w:numId w:val="2"/>
        </w:numPr>
        <w:spacing w:after="80"/>
      </w:pPr>
      <w:r>
        <w:rPr>
          <w:rFonts w:ascii="Arial" w:cs="Arial" w:eastAsia="Arial" w:hAnsi="Arial"/>
          <w:sz w:val="22"/>
          <w:szCs w:val="22"/>
        </w:rPr>
        <w:t xml:space="preserve">Overall Business Impact: The revised rate structure necessitates a thorough review of pricing, supply chain costs, and financial planning. Where previously taxable output becomes exempt, ITC will be disallowed, leading to embedded tax costs. Reversal of ITC on closing stock will be required under Section 18. Where output tax reduces from 18% to 5%, ITC remains admissible but may accumulate. Refunds of input services and capital goods are restricted under the inverted duty structure refund scheme.</w:t>
      </w:r>
    </w:p>
    <w:p>
      <w:pPr>
        <w:pStyle w:val="ListParagraph"/>
        <w:numPr>
          <w:ilvl w:val="0"/>
          <w:numId w:val="2"/>
        </w:numPr>
        <w:spacing w:after="80"/>
      </w:pPr>
      <w:r>
        <w:rPr>
          <w:rFonts w:ascii="Arial" w:cs="Arial" w:eastAsia="Arial" w:hAnsi="Arial"/>
          <w:sz w:val="22"/>
          <w:szCs w:val="22"/>
        </w:rPr>
        <w:t xml:space="preserve">Classification Review: With the 12% slab removed, most goods and services now fall under either 5% or 18%. The wider 13% rate gap heightens the risk of misclassification. Businesses should carefully reassess their classification of both outward supplies and inward procurements.</w:t>
      </w:r>
    </w:p>
    <w:p>
      <w:pPr>
        <w:pStyle w:val="ListParagraph"/>
        <w:numPr>
          <w:ilvl w:val="0"/>
          <w:numId w:val="2"/>
        </w:numPr>
        <w:spacing w:after="80"/>
      </w:pPr>
      <w:r>
        <w:rPr>
          <w:rFonts w:ascii="Arial" w:cs="Arial" w:eastAsia="Arial" w:hAnsi="Arial"/>
          <w:sz w:val="22"/>
          <w:szCs w:val="22"/>
        </w:rPr>
        <w:t xml:space="preserve">Contract Review and Renegotiation: Companies should reassess existing contracts to identify GST passthrough or adjustment clauses. The impact varies depending on whether contracts are tax-inclusive or tax-exclusive.</w:t>
      </w:r>
    </w:p>
    <w:p>
      <w:pPr>
        <w:pStyle w:val="ListParagraph"/>
        <w:numPr>
          <w:ilvl w:val="0"/>
          <w:numId w:val="2"/>
        </w:numPr>
        <w:spacing w:after="80"/>
      </w:pPr>
      <w:r>
        <w:rPr>
          <w:rFonts w:ascii="Arial" w:cs="Arial" w:eastAsia="Arial" w:hAnsi="Arial"/>
          <w:sz w:val="22"/>
          <w:szCs w:val="22"/>
        </w:rPr>
        <w:t xml:space="preserve">Inventory Management and Transitional Rules: Goods procured at higher rates and supplied post 22 September at lower rates may lead to ITC mismatch/accumulation. Transitional provisions under Section 14 of the CGST Act apply, determining the applicable rate based on invoice and payment timing.</w:t>
      </w:r>
    </w:p>
    <w:p>
      <w:pPr>
        <w:pStyle w:val="ListParagraph"/>
        <w:numPr>
          <w:ilvl w:val="0"/>
          <w:numId w:val="2"/>
        </w:numPr>
        <w:spacing w:after="80"/>
      </w:pPr>
      <w:r>
        <w:rPr>
          <w:rFonts w:ascii="Arial" w:cs="Arial" w:eastAsia="Arial" w:hAnsi="Arial"/>
          <w:sz w:val="22"/>
          <w:szCs w:val="22"/>
        </w:rPr>
        <w:t xml:space="preserve">ERP &amp; Accounting Systems: ERP, billing, and point-of-sale systems must be updated to reflect revised rates and transitional rules. For MRP goods, unsold stock may require relabeling in line with Legal Metrology rules.</w:t>
      </w:r>
    </w:p>
    <w:p>
      <w:pPr>
        <w:pStyle w:val="ListParagraph"/>
        <w:numPr>
          <w:ilvl w:val="0"/>
          <w:numId w:val="2"/>
        </w:numPr>
        <w:spacing w:after="80"/>
      </w:pPr>
      <w:r>
        <w:rPr>
          <w:rFonts w:ascii="Arial" w:cs="Arial" w:eastAsia="Arial" w:hAnsi="Arial"/>
          <w:sz w:val="22"/>
          <w:szCs w:val="22"/>
        </w:rPr>
        <w:t xml:space="preserve">Compliance and Documentation: Businesses should capture key transition aspects such as rate changes, contract revisions, and pricing decisions. Robust recordkeeping will be essential for audits or litigation.</w:t>
      </w:r>
    </w:p>
    <w:p>
      <w:pPr>
        <w:pStyle w:val="ListParagraph"/>
        <w:numPr>
          <w:ilvl w:val="0"/>
          <w:numId w:val="2"/>
        </w:numPr>
        <w:spacing w:after="80"/>
      </w:pPr>
      <w:r>
        <w:rPr>
          <w:rFonts w:ascii="Arial" w:cs="Arial" w:eastAsia="Arial" w:hAnsi="Arial"/>
          <w:sz w:val="22"/>
          <w:szCs w:val="22"/>
        </w:rPr>
        <w:t xml:space="preserve">Automobile Sector: Expected to benefit from GST rate reduction to 18% on small cars, two-wheelers, and commercial vehicles. Uniform 18% on most auto components addresses classification disputes. However, with omission of Compensation Cess, any unutilised credit may become a cost.</w:t>
      </w:r>
    </w:p>
    <w:p>
      <w:pPr>
        <w:pStyle w:val="ListParagraph"/>
        <w:numPr>
          <w:ilvl w:val="0"/>
          <w:numId w:val="2"/>
        </w:numPr>
        <w:spacing w:after="80"/>
      </w:pPr>
      <w:r>
        <w:rPr>
          <w:rFonts w:ascii="Arial" w:cs="Arial" w:eastAsia="Arial" w:hAnsi="Arial"/>
          <w:sz w:val="22"/>
          <w:szCs w:val="22"/>
        </w:rPr>
        <w:t xml:space="preserve">Insurance Sector: Individual life and health policies along with reinsurance are now exempt, but related ITC is now ineligible, increasing embedded costs. Group policies remain taxable.</w:t>
      </w:r>
    </w:p>
    <w:p>
      <w:pPr>
        <w:pStyle w:val="ListParagraph"/>
        <w:numPr>
          <w:ilvl w:val="0"/>
          <w:numId w:val="2"/>
        </w:numPr>
        <w:spacing w:after="80"/>
      </w:pPr>
      <w:r>
        <w:rPr>
          <w:rFonts w:ascii="Arial" w:cs="Arial" w:eastAsia="Arial" w:hAnsi="Arial"/>
          <w:sz w:val="22"/>
          <w:szCs w:val="22"/>
        </w:rPr>
        <w:t xml:space="preserve">Pharmaceuticals: Deepening of inverted duty structure, with most medicaments at 5% while APIs and input services remain at 18%. Accumulation of unutilized ITC likely.</w:t>
      </w:r>
    </w:p>
    <w:p>
      <w:pPr>
        <w:pStyle w:val="ListParagraph"/>
        <w:numPr>
          <w:ilvl w:val="0"/>
          <w:numId w:val="2"/>
        </w:numPr>
        <w:spacing w:after="80"/>
      </w:pPr>
      <w:r>
        <w:rPr>
          <w:rFonts w:ascii="Arial" w:cs="Arial" w:eastAsia="Arial" w:hAnsi="Arial"/>
          <w:sz w:val="22"/>
          <w:szCs w:val="22"/>
        </w:rPr>
        <w:t xml:space="preserve">Construction: Cement reduction from 28% to 18% alters cost base for projects. Many composite works contracts aligned to standard 18% with full ITC.</w:t>
      </w:r>
    </w:p>
    <w:p>
      <w:pPr>
        <w:pStyle w:val="ListParagraph"/>
        <w:numPr>
          <w:ilvl w:val="0"/>
          <w:numId w:val="2"/>
        </w:numPr>
        <w:spacing w:after="80"/>
      </w:pPr>
      <w:r>
        <w:rPr>
          <w:rFonts w:ascii="Arial" w:cs="Arial" w:eastAsia="Arial" w:hAnsi="Arial"/>
          <w:sz w:val="22"/>
          <w:szCs w:val="22"/>
        </w:rPr>
        <w:t xml:space="preserve">FMCG: Wide range of essential goods reduced to 5%. Issues relating to accumulated ITC, MRP relabeling, billing system updates, and reduction in state-linked incentives.</w:t>
      </w:r>
    </w:p>
    <w:p>
      <w:pPr>
        <w:pStyle w:val="ListParagraph"/>
        <w:numPr>
          <w:ilvl w:val="0"/>
          <w:numId w:val="2"/>
        </w:numPr>
        <w:spacing w:after="80"/>
      </w:pPr>
      <w:r>
        <w:rPr>
          <w:rFonts w:ascii="Arial" w:cs="Arial" w:eastAsia="Arial" w:hAnsi="Arial"/>
          <w:sz w:val="22"/>
          <w:szCs w:val="22"/>
        </w:rPr>
        <w:t xml:space="preserve">Logistics: Multiple-rate options continue — GTA services offer 5% without ITC and 18% credit-eligible option (increased from earlier 12%).</w:t>
      </w:r>
    </w:p>
    <w:p>
      <w:pPr>
        <w:spacing w:after="100" w:before="200"/>
      </w:pPr>
      <w:r>
        <w:rPr>
          <w:rFonts w:ascii="Arial" w:cs="Arial" w:eastAsia="Arial" w:hAnsi="Arial"/>
          <w:b/>
          <w:bCs/>
          <w:sz w:val="24"/>
          <w:szCs w:val="24"/>
        </w:rPr>
        <w:t xml:space="preserve">Action Items</w:t>
      </w:r>
    </w:p>
    <w:p>
      <w:pPr>
        <w:pStyle w:val="ListParagraph"/>
        <w:numPr>
          <w:ilvl w:val="0"/>
          <w:numId w:val="3"/>
        </w:numPr>
        <w:spacing w:after="80"/>
      </w:pPr>
      <w:r>
        <w:rPr>
          <w:rFonts w:ascii="Arial" w:cs="Arial" w:eastAsia="Arial" w:hAnsi="Arial"/>
          <w:sz w:val="22"/>
          <w:szCs w:val="22"/>
        </w:rPr>
        <w:t xml:space="preserve">Review pricing, supply chain costs, and financial planning in light of the revised rate structure.</w:t>
      </w:r>
    </w:p>
    <w:p>
      <w:pPr>
        <w:pStyle w:val="ListParagraph"/>
        <w:numPr>
          <w:ilvl w:val="0"/>
          <w:numId w:val="3"/>
        </w:numPr>
        <w:spacing w:after="80"/>
      </w:pPr>
      <w:r>
        <w:rPr>
          <w:rFonts w:ascii="Arial" w:cs="Arial" w:eastAsia="Arial" w:hAnsi="Arial"/>
          <w:sz w:val="22"/>
          <w:szCs w:val="22"/>
        </w:rPr>
        <w:t xml:space="preserve">Reassess classification of outward supplies and inward procurements under the new rate slabs.</w:t>
      </w:r>
    </w:p>
    <w:p>
      <w:pPr>
        <w:pStyle w:val="ListParagraph"/>
        <w:numPr>
          <w:ilvl w:val="0"/>
          <w:numId w:val="3"/>
        </w:numPr>
        <w:spacing w:after="80"/>
      </w:pPr>
      <w:r>
        <w:rPr>
          <w:rFonts w:ascii="Arial" w:cs="Arial" w:eastAsia="Arial" w:hAnsi="Arial"/>
          <w:sz w:val="22"/>
          <w:szCs w:val="22"/>
        </w:rPr>
        <w:t xml:space="preserve">Review existing contracts for GST passthrough or adjustment clauses and renegotiate where needed.</w:t>
      </w:r>
    </w:p>
    <w:p>
      <w:pPr>
        <w:pStyle w:val="ListParagraph"/>
        <w:numPr>
          <w:ilvl w:val="0"/>
          <w:numId w:val="3"/>
        </w:numPr>
        <w:spacing w:after="80"/>
      </w:pPr>
      <w:r>
        <w:rPr>
          <w:rFonts w:ascii="Arial" w:cs="Arial" w:eastAsia="Arial" w:hAnsi="Arial"/>
          <w:sz w:val="22"/>
          <w:szCs w:val="22"/>
        </w:rPr>
        <w:t xml:space="preserve">Update ERP, billing, and point-of-sale systems to reflect revised rates before the effective date.</w:t>
      </w:r>
    </w:p>
    <w:p>
      <w:pPr>
        <w:pStyle w:val="ListParagraph"/>
        <w:numPr>
          <w:ilvl w:val="0"/>
          <w:numId w:val="3"/>
        </w:numPr>
        <w:spacing w:after="80"/>
      </w:pPr>
      <w:r>
        <w:rPr>
          <w:rFonts w:ascii="Arial" w:cs="Arial" w:eastAsia="Arial" w:hAnsi="Arial"/>
          <w:sz w:val="22"/>
          <w:szCs w:val="22"/>
        </w:rPr>
        <w:t xml:space="preserve">Plan for MRP relabeling of affected packaged goods under Legal Metrology rules.</w:t>
      </w:r>
    </w:p>
    <w:p>
      <w:pPr>
        <w:pStyle w:val="ListParagraph"/>
        <w:numPr>
          <w:ilvl w:val="0"/>
          <w:numId w:val="3"/>
        </w:numPr>
        <w:spacing w:after="80"/>
      </w:pPr>
      <w:r>
        <w:rPr>
          <w:rFonts w:ascii="Arial" w:cs="Arial" w:eastAsia="Arial" w:hAnsi="Arial"/>
          <w:sz w:val="22"/>
          <w:szCs w:val="22"/>
        </w:rPr>
        <w:t xml:space="preserve">Prepare anti-profiteering documentation showing commensurate price reduction calculations.</w:t>
      </w:r>
    </w:p>
    <w:p>
      <w:pPr>
        <w:pStyle w:val="ListParagraph"/>
        <w:numPr>
          <w:ilvl w:val="0"/>
          <w:numId w:val="3"/>
        </w:numPr>
        <w:spacing w:after="80"/>
      </w:pPr>
      <w:r>
        <w:rPr>
          <w:rFonts w:ascii="Arial" w:cs="Arial" w:eastAsia="Arial" w:hAnsi="Arial"/>
          <w:sz w:val="22"/>
          <w:szCs w:val="22"/>
        </w:rPr>
        <w:t xml:space="preserve">Assess sector-specific impacts and align procurement and dispatch to optimize tax positions.</w:t>
      </w:r>
    </w:p>
    <w:p>
      <w:pPr>
        <w:spacing w:after="100" w:before="200"/>
      </w:pPr>
      <w:r>
        <w:rPr>
          <w:rFonts w:ascii="Arial" w:cs="Arial" w:eastAsia="Arial" w:hAnsi="Arial"/>
          <w:b/>
          <w:bCs/>
          <w:sz w:val="24"/>
          <w:szCs w:val="24"/>
        </w:rPr>
        <w:t xml:space="preserve">Additional Notes</w:t>
      </w:r>
    </w:p>
    <w:p>
      <w:pPr>
        <w:pStyle w:val="ListParagraph"/>
        <w:numPr>
          <w:ilvl w:val="0"/>
          <w:numId w:val="2"/>
        </w:numPr>
        <w:spacing w:after="80"/>
      </w:pPr>
      <w:r>
        <w:rPr>
          <w:rFonts w:ascii="Arial" w:cs="Arial" w:eastAsia="Arial" w:hAnsi="Arial"/>
          <w:sz w:val="22"/>
          <w:szCs w:val="22"/>
        </w:rPr>
        <w:t xml:space="preserve">Although the National Anti-Profiteering Authority has ceased new investigations post 1 April 2025, businesses are still expected to pass on tax reductions.</w:t>
      </w:r>
    </w:p>
    <w:p>
      <w:pPr>
        <w:pStyle w:val="ListParagraph"/>
        <w:numPr>
          <w:ilvl w:val="0"/>
          <w:numId w:val="2"/>
        </w:numPr>
        <w:spacing w:after="80"/>
      </w:pPr>
      <w:r>
        <w:rPr>
          <w:rFonts w:ascii="Arial" w:cs="Arial" w:eastAsia="Arial" w:hAnsi="Arial"/>
          <w:sz w:val="22"/>
          <w:szCs w:val="22"/>
        </w:rPr>
        <w:t xml:space="preserve">Incentive amounts under state schemes or budgetary support schemes, often tied to output tax paid in cash, may be affected due to lower tax outflows.</w:t>
      </w:r>
    </w:p>
    <w:p>
      <w:pPr>
        <w:pStyle w:val="ListParagraph"/>
        <w:numPr>
          <w:ilvl w:val="0"/>
          <w:numId w:val="2"/>
        </w:numPr>
        <w:spacing w:after="80"/>
      </w:pPr>
      <w:r>
        <w:rPr>
          <w:rFonts w:ascii="Arial" w:cs="Arial" w:eastAsia="Arial" w:hAnsi="Arial"/>
          <w:sz w:val="22"/>
          <w:szCs w:val="22"/>
        </w:rPr>
        <w:t xml:space="preserve">Industry representation is needed for a smooth transition and policy alignment. Priorities include relief or utilization of accumulated Compensation Cess, clarity on anti-profiteering rules, and amendments for inverted duty structure cases to enable refunds. Temporary relaxations under Legal Metrology for MRP re-stickering, guidance on ITC reversal under Section 18 of CGST where supplies are now exempt, and recalibration of state incentive schemes after rate changes will also be crucial.</w:t>
      </w:r>
    </w:p>
    <w:p>
      <w:pPr>
        <w:pStyle w:val="ListParagraph"/>
        <w:numPr>
          <w:ilvl w:val="0"/>
          <w:numId w:val="2"/>
        </w:numPr>
        <w:spacing w:after="80"/>
      </w:pPr>
      <w:r>
        <w:rPr>
          <w:rFonts w:ascii="Arial" w:cs="Arial" w:eastAsia="Arial" w:hAnsi="Arial"/>
          <w:sz w:val="22"/>
          <w:szCs w:val="22"/>
        </w:rPr>
        <w:t xml:space="preserve">The proposed rate rationalization is a positive step that can simplify compliance and reduce classification disputes. However, the transition also poses practical challenges. Companies that proactively reassess their classifications, pricing models, vendor arrangements, inventory planning, and system readiness will be best positioned to adapt.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2026-03-16T07:07:09.369Z</dcterms:created>
  <dcterms:modified xsi:type="dcterms:W3CDTF">2026-03-16T07:07:09.369Z</dcterms:modified>
</cp:coreProperties>
</file>

<file path=docProps/custom.xml><?xml version="1.0" encoding="utf-8"?>
<Properties xmlns="http://schemas.openxmlformats.org/officeDocument/2006/custom-properties" xmlns:vt="http://schemas.openxmlformats.org/officeDocument/2006/docPropsVTypes"/>
</file>