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28"/>
          <w:szCs w:val="28"/>
        </w:rPr>
        <w:t xml:space="preserve">Amendments in GST Amnesty Scheme under Section 128A</w:t>
      </w:r>
    </w:p>
    <w:p>
      <w:pPr>
        <w:spacing w:after="200"/>
      </w:pPr>
      <w:r>
        <w:rPr>
          <w:rFonts w:ascii="Arial" w:cs="Arial" w:eastAsia="Arial" w:hAnsi="Arial"/>
          <w:b/>
          <w:bCs/>
          <w:sz w:val="22"/>
          <w:szCs w:val="22"/>
        </w:rPr>
        <w:t xml:space="preserve">Circular Reference: </w:t>
      </w:r>
      <w:r>
        <w:rPr>
          <w:rFonts w:ascii="Arial" w:cs="Arial" w:eastAsia="Arial" w:hAnsi="Arial"/>
          <w:sz w:val="22"/>
          <w:szCs w:val="22"/>
        </w:rPr>
        <w:t xml:space="preserve">CBIC | Notification No. 11/2025 – Central Tax; Circular No. 248/05/2025-GST | 27 March 2025</w:t>
      </w:r>
    </w:p>
    <w:p>
      <w:pPr>
        <w:spacing w:after="200"/>
      </w:pPr>
      <w:r>
        <w:rPr>
          <w:rFonts w:ascii="Arial" w:cs="Arial" w:eastAsia="Arial" w:hAnsi="Arial"/>
          <w:b/>
          <w:bCs/>
          <w:sz w:val="22"/>
          <w:szCs w:val="22"/>
        </w:rPr>
        <w:t xml:space="preserve">In Brief: </w:t>
      </w:r>
      <w:r>
        <w:rPr>
          <w:rFonts w:ascii="Arial" w:cs="Arial" w:eastAsia="Arial" w:hAnsi="Arial"/>
          <w:sz w:val="22"/>
          <w:szCs w:val="22"/>
        </w:rPr>
        <w:t xml:space="preserve">Amendments to Rule 164 address concerns related to appeals against notices/orders covering both the specified period (up to 31 March 2020) and periods beyond, along with clarification on GSTR-3B payments.</w:t>
      </w:r>
    </w:p>
    <w:p>
      <w:pPr>
        <w:spacing w:after="100" w:before="200"/>
      </w:pPr>
      <w:r>
        <w:rPr>
          <w:rFonts w:ascii="Arial" w:cs="Arial" w:eastAsia="Arial" w:hAnsi="Arial"/>
          <w:b/>
          <w:bCs/>
          <w:sz w:val="24"/>
          <w:szCs w:val="24"/>
        </w:rPr>
        <w:t xml:space="preserve">Key Changes</w:t>
      </w:r>
    </w:p>
    <w:p>
      <w:pPr>
        <w:pStyle w:val="ListParagraph"/>
        <w:numPr>
          <w:ilvl w:val="0"/>
          <w:numId w:val="2"/>
        </w:numPr>
        <w:spacing w:after="80"/>
      </w:pPr>
      <w:r>
        <w:rPr>
          <w:rFonts w:ascii="Arial" w:cs="Arial" w:eastAsia="Arial" w:hAnsi="Arial"/>
          <w:sz w:val="22"/>
          <w:szCs w:val="22"/>
        </w:rPr>
        <w:t xml:space="preserve">Rule 164(4) has been amended to provide that a taxpayer is required to pay the full amount of tax related to the specified period only (1st July 2017 to 31st March 2020) before filing an application under the Scheme.</w:t>
      </w:r>
    </w:p>
    <w:p>
      <w:pPr>
        <w:pStyle w:val="ListParagraph"/>
        <w:numPr>
          <w:ilvl w:val="0"/>
          <w:numId w:val="2"/>
        </w:numPr>
        <w:spacing w:after="80"/>
      </w:pPr>
      <w:r>
        <w:rPr>
          <w:rFonts w:ascii="Arial" w:cs="Arial" w:eastAsia="Arial" w:hAnsi="Arial"/>
          <w:sz w:val="22"/>
          <w:szCs w:val="22"/>
        </w:rPr>
        <w:t xml:space="preserve">In cases where a tax demand covers both the specified period and a period beyond it, the requirement to pay the full tax before filing the application applies only to the tax demand for the specified period and not to the period beyond it.</w:t>
      </w:r>
    </w:p>
    <w:p>
      <w:pPr>
        <w:pStyle w:val="ListParagraph"/>
        <w:numPr>
          <w:ilvl w:val="0"/>
          <w:numId w:val="2"/>
        </w:numPr>
        <w:spacing w:after="80"/>
      </w:pPr>
      <w:r>
        <w:rPr>
          <w:rFonts w:ascii="Arial" w:cs="Arial" w:eastAsia="Arial" w:hAnsi="Arial"/>
          <w:sz w:val="22"/>
          <w:szCs w:val="22"/>
        </w:rPr>
        <w:t xml:space="preserve">An explanation in sub-rule (4) has been inserted, stating that no refund shall be granted for tax, interest, or penalty already paid before the introduction of these amendments.</w:t>
      </w:r>
    </w:p>
    <w:p>
      <w:pPr>
        <w:pStyle w:val="ListParagraph"/>
        <w:numPr>
          <w:ilvl w:val="0"/>
          <w:numId w:val="2"/>
        </w:numPr>
        <w:spacing w:after="80"/>
      </w:pPr>
      <w:r>
        <w:rPr>
          <w:rFonts w:ascii="Arial" w:cs="Arial" w:eastAsia="Arial" w:hAnsi="Arial"/>
          <w:sz w:val="22"/>
          <w:szCs w:val="22"/>
        </w:rPr>
        <w:t xml:space="preserve">A second proviso has been added to sub-rule (7) along with an explanation, allowing taxpayers to withdraw their appeal only for the specified period while retaining the right to appeal for other periods. Upon intimation, the appellate authority will issue an order for the remaining period, and the appeal for the specified period will be deemed withdrawn.</w:t>
      </w:r>
    </w:p>
    <w:p>
      <w:pPr>
        <w:pStyle w:val="ListParagraph"/>
        <w:numPr>
          <w:ilvl w:val="0"/>
          <w:numId w:val="2"/>
        </w:numPr>
        <w:spacing w:after="80"/>
      </w:pPr>
      <w:r>
        <w:rPr>
          <w:rFonts w:ascii="Arial" w:cs="Arial" w:eastAsia="Arial" w:hAnsi="Arial"/>
          <w:sz w:val="22"/>
          <w:szCs w:val="22"/>
        </w:rPr>
        <w:t xml:space="preserve">Taxpayers who made tax payments through Form GSTR-3B before the issuance of a demand notice and/or adjudication order, and before November 1, 2024, shall also be eligible for the benefits under Section 128A of the CGST Act, subject to verification by the proper officer.</w:t>
      </w:r>
    </w:p>
    <w:p>
      <w:pPr>
        <w:pStyle w:val="ListParagraph"/>
        <w:numPr>
          <w:ilvl w:val="0"/>
          <w:numId w:val="2"/>
        </w:numPr>
        <w:spacing w:after="80"/>
      </w:pPr>
      <w:r>
        <w:rPr>
          <w:rFonts w:ascii="Arial" w:cs="Arial" w:eastAsia="Arial" w:hAnsi="Arial"/>
          <w:sz w:val="22"/>
          <w:szCs w:val="22"/>
        </w:rPr>
        <w:t xml:space="preserve">This clarification aligns with Circular No. 238/32/2024-GST dated October 15, 2024, which states that any amount paid towards the demand before the introduction of Section 128A (before November 1, 2024) will be considered as payment for the said demand.</w:t>
      </w:r>
    </w:p>
    <w:p>
      <w:pPr>
        <w:pStyle w:val="ListParagraph"/>
        <w:numPr>
          <w:ilvl w:val="0"/>
          <w:numId w:val="2"/>
        </w:numPr>
        <w:spacing w:after="80"/>
      </w:pPr>
      <w:r>
        <w:rPr>
          <w:rFonts w:ascii="Arial" w:cs="Arial" w:eastAsia="Arial" w:hAnsi="Arial"/>
          <w:sz w:val="22"/>
          <w:szCs w:val="22"/>
        </w:rPr>
        <w:t xml:space="preserve">Any payment of tax made after November 1, 2024 shall be eligible for the benefit of the Amnesty Scheme only if such payment has been made through Form DRC-03.</w:t>
      </w:r>
    </w:p>
    <w:p>
      <w:pPr>
        <w:spacing w:after="100" w:before="200"/>
      </w:pPr>
      <w:r>
        <w:rPr>
          <w:rFonts w:ascii="Arial" w:cs="Arial" w:eastAsia="Arial" w:hAnsi="Arial"/>
          <w:b/>
          <w:bCs/>
          <w:sz w:val="24"/>
          <w:szCs w:val="24"/>
        </w:rPr>
        <w:t xml:space="preserve">Action Items</w:t>
      </w:r>
    </w:p>
    <w:p>
      <w:pPr>
        <w:pStyle w:val="ListParagraph"/>
        <w:numPr>
          <w:ilvl w:val="0"/>
          <w:numId w:val="3"/>
        </w:numPr>
        <w:spacing w:after="80"/>
      </w:pPr>
      <w:r>
        <w:rPr>
          <w:rFonts w:ascii="Arial" w:cs="Arial" w:eastAsia="Arial" w:hAnsi="Arial"/>
          <w:sz w:val="22"/>
          <w:szCs w:val="22"/>
        </w:rPr>
        <w:t xml:space="preserve">Taxpayers with outstanding demands covering overlapping periods should reassess their eligibility under the Scheme in light of these amendments.</w:t>
      </w:r>
    </w:p>
    <w:p>
      <w:pPr>
        <w:pStyle w:val="ListParagraph"/>
        <w:numPr>
          <w:ilvl w:val="0"/>
          <w:numId w:val="3"/>
        </w:numPr>
        <w:spacing w:after="80"/>
      </w:pPr>
      <w:r>
        <w:rPr>
          <w:rFonts w:ascii="Arial" w:cs="Arial" w:eastAsia="Arial" w:hAnsi="Arial"/>
          <w:sz w:val="22"/>
          <w:szCs w:val="22"/>
        </w:rPr>
        <w:t xml:space="preserve">Where an appeal covers both the specified period and other periods, consider filing an intimation with the appellate authority to partially withdraw the appeal for the amnesty period only.</w:t>
      </w:r>
    </w:p>
    <w:p>
      <w:pPr>
        <w:pStyle w:val="ListParagraph"/>
        <w:numPr>
          <w:ilvl w:val="0"/>
          <w:numId w:val="3"/>
        </w:numPr>
        <w:spacing w:after="80"/>
      </w:pPr>
      <w:r>
        <w:rPr>
          <w:rFonts w:ascii="Arial" w:cs="Arial" w:eastAsia="Arial" w:hAnsi="Arial"/>
          <w:sz w:val="22"/>
          <w:szCs w:val="22"/>
        </w:rPr>
        <w:t xml:space="preserve">Verify whether prior payments through GSTR-3B qualify under the clarification and compile supporting documentation.</w:t>
      </w:r>
    </w:p>
    <w:p>
      <w:pPr>
        <w:pStyle w:val="ListParagraph"/>
        <w:numPr>
          <w:ilvl w:val="0"/>
          <w:numId w:val="3"/>
        </w:numPr>
        <w:spacing w:after="80"/>
      </w:pPr>
      <w:r>
        <w:rPr>
          <w:rFonts w:ascii="Arial" w:cs="Arial" w:eastAsia="Arial" w:hAnsi="Arial"/>
          <w:sz w:val="22"/>
          <w:szCs w:val="22"/>
        </w:rPr>
        <w:t xml:space="preserve">Relevant changes in the portal forms are still awaited — monitor for updates.</w:t>
      </w:r>
    </w:p>
    <w:p>
      <w:pPr>
        <w:spacing w:after="100" w:before="200"/>
      </w:pPr>
      <w:r>
        <w:rPr>
          <w:rFonts w:ascii="Arial" w:cs="Arial" w:eastAsia="Arial" w:hAnsi="Arial"/>
          <w:b/>
          <w:bCs/>
          <w:sz w:val="24"/>
          <w:szCs w:val="24"/>
        </w:rPr>
        <w:t xml:space="preserve">Exceptions &amp; Thresholds</w:t>
      </w:r>
    </w:p>
    <w:p>
      <w:pPr>
        <w:pStyle w:val="ListParagraph"/>
        <w:numPr>
          <w:ilvl w:val="0"/>
          <w:numId w:val="2"/>
        </w:numPr>
        <w:spacing w:after="80"/>
      </w:pPr>
      <w:r>
        <w:rPr>
          <w:rFonts w:ascii="Arial" w:cs="Arial" w:eastAsia="Arial" w:hAnsi="Arial"/>
          <w:sz w:val="22"/>
          <w:szCs w:val="22"/>
        </w:rPr>
        <w:t xml:space="preserve">The refund restriction applies only where the demand notice covered both the amnesty period and another period.</w:t>
      </w:r>
    </w:p>
    <w:p>
      <w:pPr>
        <w:pStyle w:val="ListParagraph"/>
        <w:numPr>
          <w:ilvl w:val="0"/>
          <w:numId w:val="2"/>
        </w:numPr>
        <w:spacing w:after="80"/>
      </w:pPr>
      <w:r>
        <w:rPr>
          <w:rFonts w:ascii="Arial" w:cs="Arial" w:eastAsia="Arial" w:hAnsi="Arial"/>
          <w:sz w:val="22"/>
          <w:szCs w:val="22"/>
        </w:rPr>
        <w:t xml:space="preserve">Payments after November 1, 2024 are eligible only if made through DRC-03, not GSTR-3B.</w:t>
      </w:r>
    </w:p>
    <w:p>
      <w:pPr>
        <w:spacing w:after="100" w:before="200"/>
      </w:pPr>
      <w:r>
        <w:rPr>
          <w:rFonts w:ascii="Arial" w:cs="Arial" w:eastAsia="Arial" w:hAnsi="Arial"/>
          <w:b/>
          <w:bCs/>
          <w:sz w:val="24"/>
          <w:szCs w:val="24"/>
        </w:rPr>
        <w:t xml:space="preserve">Additional Notes</w:t>
      </w:r>
    </w:p>
    <w:p>
      <w:pPr>
        <w:pStyle w:val="ListParagraph"/>
        <w:numPr>
          <w:ilvl w:val="0"/>
          <w:numId w:val="2"/>
        </w:numPr>
        <w:spacing w:after="80"/>
      </w:pPr>
      <w:r>
        <w:rPr>
          <w:rFonts w:ascii="Arial" w:cs="Arial" w:eastAsia="Arial" w:hAnsi="Arial"/>
          <w:sz w:val="22"/>
          <w:szCs w:val="22"/>
        </w:rPr>
        <w:t xml:space="preserve">These amendments represent a pragmatic approach to resolving procedural bottlenecks that were hindering broader adoption of the Scheme. The ability to partially withdraw appeals for the specified period while continuing with appeals for other periods is a welcome measure that removes a significant deterrent for taxpayers with composite demand orders.</w:t>
      </w:r>
    </w:p>
    <w:p>
      <w:pPr>
        <w:pStyle w:val="ListParagraph"/>
        <w:numPr>
          <w:ilvl w:val="0"/>
          <w:numId w:val="2"/>
        </w:numPr>
        <w:spacing w:after="80"/>
      </w:pPr>
      <w:r>
        <w:rPr>
          <w:rFonts w:ascii="Arial" w:cs="Arial" w:eastAsia="Arial" w:hAnsi="Arial"/>
          <w:sz w:val="22"/>
          <w:szCs w:val="22"/>
        </w:rPr>
        <w:t xml:space="preserve">The clarification that payments made through GSTR-3B will also be considered as payment of demand for the Amnesty Scheme provides significant relief to taxpayers.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2026-03-16T07:07:09.035Z</dcterms:created>
  <dcterms:modified xsi:type="dcterms:W3CDTF">2026-03-16T07:07:09.038Z</dcterms:modified>
</cp:coreProperties>
</file>

<file path=docProps/custom.xml><?xml version="1.0" encoding="utf-8"?>
<Properties xmlns="http://schemas.openxmlformats.org/officeDocument/2006/custom-properties" xmlns:vt="http://schemas.openxmlformats.org/officeDocument/2006/docPropsVTypes"/>
</file>