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Amendments in GST Amnesty Scheme under Section 128A</w:t>
      </w:r>
    </w:p>
    <w:p>
      <w:pPr>
        <w:spacing w:after="200"/>
      </w:pPr>
      <w:r>
        <w:rPr>
          <w:rFonts w:ascii="Arial" w:cs="Arial" w:eastAsia="Arial" w:hAnsi="Arial"/>
          <w:b/>
          <w:bCs/>
          <w:sz w:val="22"/>
          <w:szCs w:val="22"/>
        </w:rPr>
        <w:t xml:space="preserve">Circular Reference: </w:t>
      </w:r>
      <w:r>
        <w:rPr>
          <w:rFonts w:ascii="Arial" w:cs="Arial" w:eastAsia="Arial" w:hAnsi="Arial"/>
          <w:sz w:val="22"/>
          <w:szCs w:val="22"/>
        </w:rPr>
        <w:t xml:space="preserve">CBIC | Notification No. 11/2025 – Central Tax; Circular No. 248/05/2025-GST | 27 March 2025</w:t>
      </w:r>
    </w:p>
    <w:p>
      <w:pPr>
        <w:spacing w:after="200"/>
      </w:pPr>
      <w:r>
        <w:rPr>
          <w:rFonts w:ascii="Arial" w:cs="Arial" w:eastAsia="Arial" w:hAnsi="Arial"/>
          <w:b/>
          <w:bCs/>
          <w:sz w:val="22"/>
          <w:szCs w:val="22"/>
        </w:rPr>
        <w:t xml:space="preserve">In Brief: </w:t>
      </w:r>
      <w:r>
        <w:rPr>
          <w:rFonts w:ascii="Arial" w:cs="Arial" w:eastAsia="Arial" w:hAnsi="Arial"/>
          <w:sz w:val="22"/>
          <w:szCs w:val="22"/>
        </w:rPr>
        <w:t xml:space="preserve">Taxpayers with composite GST demands can now settle the amnesty-period portion (July 2017–March 2020) without abandoning their appeal for remaining periods. Refund claims on prior payments are blocked, and GSTR-3B payments before November 2024 are recognised.</w:t>
      </w:r>
    </w:p>
    <w:p>
      <w:pPr>
        <w:spacing w:after="100" w:before="200"/>
      </w:pPr>
      <w:r>
        <w:rPr>
          <w:rFonts w:ascii="Arial" w:cs="Arial" w:eastAsia="Arial" w:hAnsi="Arial"/>
          <w:b/>
          <w:bCs/>
          <w:sz w:val="24"/>
          <w:szCs w:val="24"/>
        </w:rPr>
        <w:t xml:space="preserve">Key Changes</w:t>
      </w:r>
    </w:p>
    <w:p>
      <w:pPr>
        <w:pStyle w:val="ListParagraph"/>
        <w:numPr>
          <w:ilvl w:val="0"/>
          <w:numId w:val="2"/>
        </w:numPr>
        <w:spacing w:after="80"/>
      </w:pPr>
      <w:r>
        <w:rPr>
          <w:rFonts w:ascii="Arial" w:cs="Arial" w:eastAsia="Arial" w:hAnsi="Arial"/>
          <w:sz w:val="22"/>
          <w:szCs w:val="22"/>
        </w:rPr>
        <w:t xml:space="preserve">Partial Appeal Continuation: A new proviso in Rule 164(7) allows taxpayers to intimate the appellate authority that they do not wish to pursue an appeal for the period July 2017 to March 2020, while the appeal continues for other periods covered in the same order. Clients with composite demands no longer face the all-or-nothing choice of withdrawing the entire appeal just to settle the older portion.</w:t>
      </w:r>
    </w:p>
    <w:p>
      <w:pPr>
        <w:pStyle w:val="ListParagraph"/>
        <w:numPr>
          <w:ilvl w:val="0"/>
          <w:numId w:val="2"/>
        </w:numPr>
        <w:spacing w:after="80"/>
      </w:pPr>
      <w:r>
        <w:rPr>
          <w:rFonts w:ascii="Arial" w:cs="Arial" w:eastAsia="Arial" w:hAnsi="Arial"/>
          <w:sz w:val="22"/>
          <w:szCs w:val="22"/>
        </w:rPr>
        <w:t xml:space="preserve">Refund Block on Prior Payments: A new Explanation after Rule 164(4) states that no refund of tax, interest, or penalty already discharged before these rules shall be available where the demand covered both the amnesty period and other periods. Amounts already paid on composite demands before 27 March 2025 are treated as final — plan accordingly before filing.</w:t>
      </w:r>
    </w:p>
    <w:p>
      <w:pPr>
        <w:pStyle w:val="ListParagraph"/>
        <w:numPr>
          <w:ilvl w:val="0"/>
          <w:numId w:val="2"/>
        </w:numPr>
        <w:spacing w:after="80"/>
      </w:pPr>
      <w:r>
        <w:rPr>
          <w:rFonts w:ascii="Arial" w:cs="Arial" w:eastAsia="Arial" w:hAnsi="Arial"/>
          <w:sz w:val="22"/>
          <w:szCs w:val="22"/>
        </w:rPr>
        <w:t xml:space="preserve">Tax Payment Must Be Period-Specific: Rule 164(4) now requires that the full tax paid must relate specifically to the period mentioned in Section 128A(1). Ensure the payment challan clearly attributes the amount to the July 2017–March 2020 period to avoid rejection.</w:t>
      </w:r>
    </w:p>
    <w:p>
      <w:pPr>
        <w:pStyle w:val="ListParagraph"/>
        <w:numPr>
          <w:ilvl w:val="0"/>
          <w:numId w:val="2"/>
        </w:numPr>
        <w:spacing w:after="80"/>
      </w:pPr>
      <w:r>
        <w:rPr>
          <w:rFonts w:ascii="Arial" w:cs="Arial" w:eastAsia="Arial" w:hAnsi="Arial"/>
          <w:sz w:val="22"/>
          <w:szCs w:val="22"/>
        </w:rPr>
        <w:t xml:space="preserve">GSTR-3B Payments Recognised (Circular 248/05/2025): Payments made through GSTR-3B before 1 November 2024, prior to issuance of the demand notice or adjudication order, are eligible for scheme benefits subject to verification. Payments after 1 November 2024 must be through Form DRC-03. If your client paid via 3B before the scheme existed, they are likely still eligible — but documentary proof of the payment and its linkage to the demand is critical.</w:t>
      </w:r>
    </w:p>
    <w:p>
      <w:pPr>
        <w:spacing w:after="100" w:before="200"/>
      </w:pPr>
      <w:r>
        <w:rPr>
          <w:rFonts w:ascii="Arial" w:cs="Arial" w:eastAsia="Arial" w:hAnsi="Arial"/>
          <w:b/>
          <w:bCs/>
          <w:sz w:val="24"/>
          <w:szCs w:val="24"/>
        </w:rPr>
        <w:t xml:space="preserve">Action Items</w:t>
      </w:r>
    </w:p>
    <w:p>
      <w:pPr>
        <w:pStyle w:val="ListParagraph"/>
        <w:numPr>
          <w:ilvl w:val="0"/>
          <w:numId w:val="3"/>
        </w:numPr>
        <w:spacing w:after="80"/>
      </w:pPr>
      <w:r>
        <w:rPr>
          <w:rFonts w:ascii="Arial" w:cs="Arial" w:eastAsia="Arial" w:hAnsi="Arial"/>
          <w:sz w:val="22"/>
          <w:szCs w:val="22"/>
        </w:rPr>
        <w:t xml:space="preserve">Review all pending appeals where the underlying demand covers both the amnesty period (July 2017–March 2020) and later periods. Identify which portion can be settled under Section 128A.</w:t>
      </w:r>
    </w:p>
    <w:p>
      <w:pPr>
        <w:pStyle w:val="ListParagraph"/>
        <w:numPr>
          <w:ilvl w:val="0"/>
          <w:numId w:val="3"/>
        </w:numPr>
        <w:spacing w:after="80"/>
      </w:pPr>
      <w:r>
        <w:rPr>
          <w:rFonts w:ascii="Arial" w:cs="Arial" w:eastAsia="Arial" w:hAnsi="Arial"/>
          <w:sz w:val="22"/>
          <w:szCs w:val="22"/>
        </w:rPr>
        <w:t xml:space="preserve">For composite demands, calculate the period-wise tax split (even if the order does not explicitly bifurcate it) and document the methodology used.</w:t>
      </w:r>
    </w:p>
    <w:p>
      <w:pPr>
        <w:pStyle w:val="ListParagraph"/>
        <w:numPr>
          <w:ilvl w:val="0"/>
          <w:numId w:val="3"/>
        </w:numPr>
        <w:spacing w:after="80"/>
      </w:pPr>
      <w:r>
        <w:rPr>
          <w:rFonts w:ascii="Arial" w:cs="Arial" w:eastAsia="Arial" w:hAnsi="Arial"/>
          <w:sz w:val="22"/>
          <w:szCs w:val="22"/>
        </w:rPr>
        <w:t xml:space="preserve">If the client paid via GSTR-3B before November 2024, compile proof of payment, the relevant GSTR-3B return, and the demand notice to demonstrate eligibility.</w:t>
      </w:r>
    </w:p>
    <w:p>
      <w:pPr>
        <w:pStyle w:val="ListParagraph"/>
        <w:numPr>
          <w:ilvl w:val="0"/>
          <w:numId w:val="3"/>
        </w:numPr>
        <w:spacing w:after="80"/>
      </w:pPr>
      <w:r>
        <w:rPr>
          <w:rFonts w:ascii="Arial" w:cs="Arial" w:eastAsia="Arial" w:hAnsi="Arial"/>
          <w:sz w:val="22"/>
          <w:szCs w:val="22"/>
        </w:rPr>
        <w:t xml:space="preserve">File the intimation of partial non-pursuit with the appellate authority or Tribunal before the application deadline.</w:t>
      </w:r>
    </w:p>
    <w:p>
      <w:pPr>
        <w:spacing w:after="100" w:before="200"/>
      </w:pPr>
      <w:r>
        <w:rPr>
          <w:rFonts w:ascii="Arial" w:cs="Arial" w:eastAsia="Arial" w:hAnsi="Arial"/>
          <w:b/>
          <w:bCs/>
          <w:sz w:val="24"/>
          <w:szCs w:val="24"/>
        </w:rPr>
        <w:t xml:space="preserve">Exceptions &amp; Thresholds</w:t>
      </w:r>
    </w:p>
    <w:p>
      <w:pPr>
        <w:pStyle w:val="ListParagraph"/>
        <w:numPr>
          <w:ilvl w:val="0"/>
          <w:numId w:val="2"/>
        </w:numPr>
        <w:spacing w:after="80"/>
      </w:pPr>
      <w:r>
        <w:rPr>
          <w:rFonts w:ascii="Arial" w:cs="Arial" w:eastAsia="Arial" w:hAnsi="Arial"/>
          <w:sz w:val="22"/>
          <w:szCs w:val="22"/>
        </w:rPr>
        <w:t xml:space="preserve">The refund restriction applies only where the demand notice covered both the amnesty period and another period. Demands entirely within July 2017–March 2020 are not affected.</w:t>
      </w:r>
    </w:p>
    <w:p>
      <w:pPr>
        <w:pStyle w:val="ListParagraph"/>
        <w:numPr>
          <w:ilvl w:val="0"/>
          <w:numId w:val="2"/>
        </w:numPr>
        <w:spacing w:after="80"/>
      </w:pPr>
      <w:r>
        <w:rPr>
          <w:rFonts w:ascii="Arial" w:cs="Arial" w:eastAsia="Arial" w:hAnsi="Arial"/>
          <w:sz w:val="22"/>
          <w:szCs w:val="22"/>
        </w:rPr>
        <w:t xml:space="preserve">The "deemed withdrawal" of an appeal applies only to the extent of the amnesty period intimation; the appellate authority retains full discretion to pass orders on the remaining period.</w:t>
      </w:r>
    </w:p>
    <w:p>
      <w:pPr>
        <w:pStyle w:val="ListParagraph"/>
        <w:numPr>
          <w:ilvl w:val="0"/>
          <w:numId w:val="2"/>
        </w:numPr>
        <w:spacing w:after="80"/>
      </w:pPr>
      <w:r>
        <w:rPr>
          <w:rFonts w:ascii="Arial" w:cs="Arial" w:eastAsia="Arial" w:hAnsi="Arial"/>
          <w:sz w:val="22"/>
          <w:szCs w:val="22"/>
        </w:rPr>
        <w:t xml:space="preserve">Payments after November 1, 2024 are eligible only if made through DRC-03.</w:t>
      </w:r>
    </w:p>
    <w:p>
      <w:pPr>
        <w:spacing w:after="100" w:before="200"/>
      </w:pPr>
      <w:r>
        <w:rPr>
          <w:rFonts w:ascii="Arial" w:cs="Arial" w:eastAsia="Arial" w:hAnsi="Arial"/>
          <w:b/>
          <w:bCs/>
          <w:sz w:val="24"/>
          <w:szCs w:val="24"/>
        </w:rPr>
        <w:t xml:space="preserve">Additional Notes</w:t>
      </w:r>
    </w:p>
    <w:p>
      <w:pPr>
        <w:pStyle w:val="ListParagraph"/>
        <w:numPr>
          <w:ilvl w:val="0"/>
          <w:numId w:val="2"/>
        </w:numPr>
        <w:spacing w:after="80"/>
      </w:pPr>
      <w:r>
        <w:rPr>
          <w:rFonts w:ascii="Arial" w:cs="Arial" w:eastAsia="Arial" w:hAnsi="Arial"/>
          <w:sz w:val="22"/>
          <w:szCs w:val="22"/>
        </w:rPr>
        <w:t xml:space="preserve">Bifurcation methodology undefined: Where a single order does not split the demand period-wise, no guidance exists on how to compute the amnesty-period portion. This will require a reasonable, documented calculation — and the officer may disagree with your split.</w:t>
      </w:r>
    </w:p>
    <w:p>
      <w:pPr>
        <w:pStyle w:val="ListParagraph"/>
        <w:numPr>
          <w:ilvl w:val="0"/>
          <w:numId w:val="2"/>
        </w:numPr>
        <w:spacing w:after="80"/>
      </w:pPr>
      <w:r>
        <w:rPr>
          <w:rFonts w:ascii="Arial" w:cs="Arial" w:eastAsia="Arial" w:hAnsi="Arial"/>
          <w:sz w:val="22"/>
          <w:szCs w:val="22"/>
        </w:rPr>
        <w:t xml:space="preserve">Appellate discretion is broad: The authority is directed to pass an order for the remaining period "as he thinks just and proper" — this language is subjective and creates uncertainty about outcomes for the non-amnesty portion.</w:t>
      </w:r>
    </w:p>
    <w:p>
      <w:pPr>
        <w:pStyle w:val="ListParagraph"/>
        <w:numPr>
          <w:ilvl w:val="0"/>
          <w:numId w:val="2"/>
        </w:numPr>
        <w:spacing w:after="80"/>
      </w:pPr>
      <w:r>
        <w:rPr>
          <w:rFonts w:ascii="Arial" w:cs="Arial" w:eastAsia="Arial" w:hAnsi="Arial"/>
          <w:sz w:val="22"/>
          <w:szCs w:val="22"/>
        </w:rPr>
        <w:t xml:space="preserve">Post-commencement refund position unclear: The refund restriction covers amounts paid before 27 March 2025. The position on amounts paid after this date under composite demands is not addressed.</w:t>
      </w:r>
    </w:p>
    <w:p>
      <w:pPr>
        <w:pStyle w:val="ListParagraph"/>
        <w:numPr>
          <w:ilvl w:val="0"/>
          <w:numId w:val="2"/>
        </w:numPr>
        <w:spacing w:after="80"/>
      </w:pPr>
      <w:r>
        <w:rPr>
          <w:rFonts w:ascii="Arial" w:cs="Arial" w:eastAsia="Arial" w:hAnsi="Arial"/>
          <w:sz w:val="22"/>
          <w:szCs w:val="22"/>
        </w:rPr>
        <w:t xml:space="preserve">Portal may not support GSTR-3B references: Despite Circular 248 recognising GSTR-3B payments, the SPL-01/02 form on the GST portal may require a DRC-03 challan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2026-03-16T07:07:09.130Z</dcterms:created>
  <dcterms:modified xsi:type="dcterms:W3CDTF">2026-03-16T07:07:09.130Z</dcterms:modified>
</cp:coreProperties>
</file>

<file path=docProps/custom.xml><?xml version="1.0" encoding="utf-8"?>
<Properties xmlns="http://schemas.openxmlformats.org/officeDocument/2006/custom-properties" xmlns:vt="http://schemas.openxmlformats.org/officeDocument/2006/docPropsVTypes"/>
</file>