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GST Annual Return (GSTR-9/9C) for FY 2024-25</w:t>
      </w:r>
    </w:p>
    <w:p>
      <w:pPr>
        <w:spacing w:after="200"/>
      </w:pPr>
      <w:r>
        <w:rPr>
          <w:rFonts w:ascii="Arial" w:cs="Arial" w:eastAsia="Arial" w:hAnsi="Arial"/>
          <w:b/>
          <w:bCs/>
          <w:sz w:val="22"/>
          <w:szCs w:val="22"/>
        </w:rPr>
        <w:t xml:space="preserve">Circular Reference: </w:t>
      </w:r>
      <w:r>
        <w:rPr>
          <w:rFonts w:ascii="Arial" w:cs="Arial" w:eastAsia="Arial" w:hAnsi="Arial"/>
          <w:sz w:val="22"/>
          <w:szCs w:val="22"/>
        </w:rPr>
        <w:t xml:space="preserve">GSTN | FAQ on GSTR-9/9C for FY 2024-25 | Published October 2025</w:t>
      </w:r>
    </w:p>
    <w:p>
      <w:pPr>
        <w:spacing w:after="200"/>
      </w:pPr>
      <w:r>
        <w:rPr>
          <w:rFonts w:ascii="Arial" w:cs="Arial" w:eastAsia="Arial" w:hAnsi="Arial"/>
          <w:b/>
          <w:bCs/>
          <w:sz w:val="22"/>
          <w:szCs w:val="22"/>
        </w:rPr>
        <w:t xml:space="preserve">In Brief: </w:t>
      </w:r>
      <w:r>
        <w:rPr>
          <w:rFonts w:ascii="Arial" w:cs="Arial" w:eastAsia="Arial" w:hAnsi="Arial"/>
          <w:sz w:val="22"/>
          <w:szCs w:val="22"/>
        </w:rPr>
        <w:t xml:space="preserve">The annual return forms for FY 2024-25 introduce new tables, revised ITC auto-population logic, and a separate late fee for GSTR-9C.</w:t>
      </w:r>
    </w:p>
    <w:p>
      <w:pPr>
        <w:spacing w:after="100" w:before="200"/>
      </w:pPr>
      <w:r>
        <w:rPr>
          <w:rFonts w:ascii="Arial" w:cs="Arial" w:eastAsia="Arial" w:hAnsi="Arial"/>
          <w:b/>
          <w:bCs/>
          <w:sz w:val="24"/>
          <w:szCs w:val="24"/>
        </w:rPr>
        <w:t xml:space="preserve">Key Changes</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vAlign w:val="top"/>
          </w:tcPr>
          <w:p>
            <w:r>
              <w:rPr>
                <w:rFonts w:ascii="Arial" w:cs="Arial" w:eastAsia="Arial" w:hAnsi="Arial"/>
                <w:b/>
                <w:bCs/>
                <w:sz w:val="20"/>
                <w:szCs w:val="20"/>
              </w:rPr>
              <w:t xml:space="preserve">Table</w:t>
            </w:r>
          </w:p>
        </w:tc>
        <w:tc>
          <w:tcPr>
            <w:tcW w:type="dxa" w:w="234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vAlign w:val="top"/>
          </w:tcPr>
          <w:p>
            <w:r>
              <w:rPr>
                <w:rFonts w:ascii="Arial" w:cs="Arial" w:eastAsia="Arial" w:hAnsi="Arial"/>
                <w:b/>
                <w:bCs/>
                <w:sz w:val="20"/>
                <w:szCs w:val="20"/>
              </w:rPr>
              <w:t xml:space="preserve">Particulars</w:t>
            </w:r>
          </w:p>
        </w:tc>
        <w:tc>
          <w:tcPr>
            <w:tcW w:type="dxa" w:w="234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vAlign w:val="top"/>
          </w:tcPr>
          <w:p>
            <w:r>
              <w:rPr>
                <w:rFonts w:ascii="Arial" w:cs="Arial" w:eastAsia="Arial" w:hAnsi="Arial"/>
                <w:b/>
                <w:bCs/>
                <w:sz w:val="20"/>
                <w:szCs w:val="20"/>
              </w:rPr>
              <w:t xml:space="preserve">Earlier Reporting</w:t>
            </w:r>
          </w:p>
        </w:tc>
        <w:tc>
          <w:tcPr>
            <w:tcW w:type="dxa" w:w="234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vAlign w:val="top"/>
          </w:tcPr>
          <w:p>
            <w:r>
              <w:rPr>
                <w:rFonts w:ascii="Arial" w:cs="Arial" w:eastAsia="Arial" w:hAnsi="Arial"/>
                <w:b/>
                <w:bCs/>
                <w:sz w:val="20"/>
                <w:szCs w:val="20"/>
              </w:rPr>
              <w:t xml:space="preserve">New Reporting</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6A</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Segregation of ITC availed during the FY</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availed for current and previous FY was auto-populated cumulatively in Table 6A.</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Two new rows – 6A1 (Previous Year ITC) and 6A2 (Net ITC). Taxpayers fill previous FY ITC in 6A1.</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6B, 6H, 7</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availed, reversed and re-availed in same FY</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No clarity was provided.</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claimed in 6B, reversed in Table 7, reclaimed in 6H.</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6B to 6H</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availed in the current FY</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for current and previous FY was reported.</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Only current FY ITC to be reported.</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8A</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GSTR-2B auto-population</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from GSTR-2B of the FY.</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in GSTR-2B of FY 2024-25 plus April to October 2025 pertaining to FY 2024-25.</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8B</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Auto-population for comparison</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from Table 6B and 6H.</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Only Table 6B for comparison.</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8H1</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on imports availed in next FY</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No reporting required.</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on imports made in FY but availed in next FY.</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9</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Tax payable vs paid difference</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No difference calculated.</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New column auto-calculates difference.</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13</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claimed in next FY</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Included all ITC later, including reclaims.</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vAlign w:val="top"/>
          </w:tcPr>
          <w:p>
            <w:r>
              <w:rPr>
                <w:rFonts w:ascii="Arial" w:cs="Arial" w:eastAsia="Arial" w:hAnsi="Arial"/>
                <w:b w:val="false"/>
                <w:bCs w:val="false"/>
                <w:sz w:val="20"/>
                <w:szCs w:val="20"/>
              </w:rPr>
              <w:t xml:space="preserve">ITC of current FY availed in next FY (till 30 Nov), and reversed/reclaimed (other than Rule 37/37A).</w:t>
            </w:r>
          </w:p>
        </w:tc>
      </w:tr>
    </w:tbl>
    <w:p>
      <w:pPr>
        <w:pStyle w:val="ListParagraph"/>
        <w:numPr>
          <w:ilvl w:val="0"/>
          <w:numId w:val="2"/>
        </w:numPr>
        <w:spacing w:after="80"/>
      </w:pPr>
      <w:r>
        <w:rPr>
          <w:rFonts w:ascii="Arial" w:cs="Arial" w:eastAsia="Arial" w:hAnsi="Arial"/>
          <w:sz w:val="22"/>
          <w:szCs w:val="22"/>
        </w:rPr>
        <w:t xml:space="preserve">Changes in GSTR-9C: Separate reporting required for supplies where tax is paid by e-commerce operator.</w:t>
      </w:r>
    </w:p>
    <w:p>
      <w:pPr>
        <w:pStyle w:val="ListParagraph"/>
        <w:numPr>
          <w:ilvl w:val="0"/>
          <w:numId w:val="2"/>
        </w:numPr>
        <w:spacing w:after="80"/>
      </w:pPr>
      <w:r>
        <w:rPr>
          <w:rFonts w:ascii="Arial" w:cs="Arial" w:eastAsia="Arial" w:hAnsi="Arial"/>
          <w:sz w:val="22"/>
          <w:szCs w:val="22"/>
        </w:rPr>
        <w:t xml:space="preserve">Table 11 of Form GSTR-9C updated to report additional tax payment made due to turnover mismatch, via cash as well as ITC. Earlier this only mentioned payment via cash.</w:t>
      </w:r>
    </w:p>
    <w:p>
      <w:pPr>
        <w:pStyle w:val="ListParagraph"/>
        <w:numPr>
          <w:ilvl w:val="0"/>
          <w:numId w:val="2"/>
        </w:numPr>
        <w:spacing w:after="80"/>
      </w:pPr>
      <w:r>
        <w:rPr>
          <w:rFonts w:ascii="Arial" w:cs="Arial" w:eastAsia="Arial" w:hAnsi="Arial"/>
          <w:sz w:val="22"/>
          <w:szCs w:val="22"/>
        </w:rPr>
        <w:t xml:space="preserve">A new Table 17 has been inserted in Form GSTR-9C to calculate the late fee on filing of Form GSTR-9C after filing of Form GSTR-9.</w:t>
      </w:r>
    </w:p>
    <w:p>
      <w:pPr>
        <w:spacing w:after="100" w:before="200"/>
      </w:pPr>
      <w:r>
        <w:rPr>
          <w:rFonts w:ascii="Arial" w:cs="Arial" w:eastAsia="Arial" w:hAnsi="Arial"/>
          <w:b/>
          <w:bCs/>
          <w:sz w:val="24"/>
          <w:szCs w:val="24"/>
        </w:rPr>
        <w:t xml:space="preserve">Action Items</w:t>
      </w:r>
    </w:p>
    <w:p>
      <w:pPr>
        <w:pStyle w:val="ListParagraph"/>
        <w:numPr>
          <w:ilvl w:val="0"/>
          <w:numId w:val="3"/>
        </w:numPr>
        <w:spacing w:after="80"/>
      </w:pPr>
      <w:r>
        <w:rPr>
          <w:rFonts w:ascii="Arial" w:cs="Arial" w:eastAsia="Arial" w:hAnsi="Arial"/>
          <w:sz w:val="22"/>
          <w:szCs w:val="22"/>
        </w:rPr>
        <w:t xml:space="preserve">Ensure all GSTR-1 and GSTR-3B returns for FY 2024-25 are filed. Portal access to Form GSTR-9/Form GSTR-9C is blocked otherwise.</w:t>
      </w:r>
    </w:p>
    <w:p>
      <w:pPr>
        <w:pStyle w:val="ListParagraph"/>
        <w:numPr>
          <w:ilvl w:val="0"/>
          <w:numId w:val="3"/>
        </w:numPr>
        <w:spacing w:after="80"/>
      </w:pPr>
      <w:r>
        <w:rPr>
          <w:rFonts w:ascii="Arial" w:cs="Arial" w:eastAsia="Arial" w:hAnsi="Arial"/>
          <w:sz w:val="22"/>
          <w:szCs w:val="22"/>
        </w:rPr>
        <w:t xml:space="preserve">All eligible ITC and credit notes adjustments for FY 2024-25 should be claimed in Form GSTR-3B of October 2025.</w:t>
      </w:r>
    </w:p>
    <w:p>
      <w:pPr>
        <w:pStyle w:val="ListParagraph"/>
        <w:numPr>
          <w:ilvl w:val="0"/>
          <w:numId w:val="3"/>
        </w:numPr>
        <w:spacing w:after="80"/>
      </w:pPr>
      <w:r>
        <w:rPr>
          <w:rFonts w:ascii="Arial" w:cs="Arial" w:eastAsia="Arial" w:hAnsi="Arial"/>
          <w:sz w:val="22"/>
          <w:szCs w:val="22"/>
        </w:rPr>
        <w:t xml:space="preserve">Reporting of ITC availed and reversed must be matched with monthly GST returns and books of accounts.</w:t>
      </w:r>
    </w:p>
    <w:p>
      <w:pPr>
        <w:pStyle w:val="ListParagraph"/>
        <w:numPr>
          <w:ilvl w:val="0"/>
          <w:numId w:val="3"/>
        </w:numPr>
        <w:spacing w:after="80"/>
      </w:pPr>
      <w:r>
        <w:rPr>
          <w:rFonts w:ascii="Arial" w:cs="Arial" w:eastAsia="Arial" w:hAnsi="Arial"/>
          <w:sz w:val="22"/>
          <w:szCs w:val="22"/>
        </w:rPr>
        <w:t xml:space="preserve">Use the latest offline utility and schema for uploading returns.</w:t>
      </w:r>
    </w:p>
    <w:p>
      <w:pPr>
        <w:spacing w:after="100" w:before="200"/>
      </w:pPr>
      <w:r>
        <w:rPr>
          <w:rFonts w:ascii="Arial" w:cs="Arial" w:eastAsia="Arial" w:hAnsi="Arial"/>
          <w:b/>
          <w:bCs/>
          <w:sz w:val="24"/>
          <w:szCs w:val="24"/>
        </w:rPr>
        <w:t xml:space="preserve">Exceptions &amp; Thresholds</w:t>
      </w:r>
    </w:p>
    <w:p>
      <w:pPr>
        <w:pStyle w:val="ListParagraph"/>
        <w:numPr>
          <w:ilvl w:val="0"/>
          <w:numId w:val="2"/>
        </w:numPr>
        <w:spacing w:after="80"/>
      </w:pPr>
      <w:r>
        <w:rPr>
          <w:rFonts w:ascii="Arial" w:cs="Arial" w:eastAsia="Arial" w:hAnsi="Arial"/>
          <w:sz w:val="22"/>
          <w:szCs w:val="22"/>
        </w:rPr>
        <w:t xml:space="preserve">GSTR-9/9C enablement requires all GSTR-1 and GSTR-3B returns to be filed first.</w:t>
      </w:r>
    </w:p>
    <w:p>
      <w:pPr>
        <w:pStyle w:val="ListParagraph"/>
        <w:numPr>
          <w:ilvl w:val="0"/>
          <w:numId w:val="2"/>
        </w:numPr>
        <w:spacing w:after="80"/>
      </w:pPr>
      <w:r>
        <w:rPr>
          <w:rFonts w:ascii="Arial" w:cs="Arial" w:eastAsia="Arial" w:hAnsi="Arial"/>
          <w:sz w:val="22"/>
          <w:szCs w:val="22"/>
        </w:rPr>
        <w:t xml:space="preserve">65% concessional rate checkbox removed from Tables 17 and 18 for FY 2024-25.</w:t>
      </w:r>
    </w:p>
    <w:p>
      <w:pPr>
        <w:spacing w:after="100" w:before="200"/>
      </w:pPr>
      <w:r>
        <w:rPr>
          <w:rFonts w:ascii="Arial" w:cs="Arial" w:eastAsia="Arial" w:hAnsi="Arial"/>
          <w:b/>
          <w:bCs/>
          <w:sz w:val="24"/>
          <w:szCs w:val="24"/>
        </w:rPr>
        <w:t xml:space="preserve">Additional Notes</w:t>
      </w:r>
    </w:p>
    <w:p>
      <w:pPr>
        <w:pStyle w:val="ListParagraph"/>
        <w:numPr>
          <w:ilvl w:val="0"/>
          <w:numId w:val="2"/>
        </w:numPr>
        <w:spacing w:after="80"/>
      </w:pPr>
      <w:r>
        <w:rPr>
          <w:rFonts w:ascii="Arial" w:cs="Arial" w:eastAsia="Arial" w:hAnsi="Arial"/>
          <w:sz w:val="22"/>
          <w:szCs w:val="22"/>
        </w:rPr>
        <w:t xml:space="preserve">These changes align the ITC reporting in Form GSTR-3B and ITC appearing in Form GSTR-2B with the reporting to be made in Form GSTR-9, creating a common basis for automated ITC reconciliation.</w:t>
      </w:r>
    </w:p>
    <w:p>
      <w:pPr>
        <w:pStyle w:val="ListParagraph"/>
        <w:numPr>
          <w:ilvl w:val="0"/>
          <w:numId w:val="2"/>
        </w:numPr>
        <w:spacing w:after="80"/>
      </w:pPr>
      <w:r>
        <w:rPr>
          <w:rFonts w:ascii="Arial" w:cs="Arial" w:eastAsia="Arial" w:hAnsi="Arial"/>
          <w:sz w:val="22"/>
          <w:szCs w:val="22"/>
        </w:rPr>
        <w:t xml:space="preserve">The changes reflect the Government's focus on ensuring data accuracy and reducing manual adjustments. While it improves transparency, it also requires increased compliance standards, making it essential for taxpayers to keep their data clean and consistent every month.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2026-03-16T07:07:09.236Z</dcterms:created>
  <dcterms:modified xsi:type="dcterms:W3CDTF">2026-03-16T07:07:09.236Z</dcterms:modified>
</cp:coreProperties>
</file>

<file path=docProps/custom.xml><?xml version="1.0" encoding="utf-8"?>
<Properties xmlns="http://schemas.openxmlformats.org/officeDocument/2006/custom-properties" xmlns:vt="http://schemas.openxmlformats.org/officeDocument/2006/docPropsVTypes"/>
</file>