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GST Annual Return (GSTR-9/9C) for FY 2024-25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Circular Reference: </w:t>
      </w:r>
      <w:r>
        <w:rPr>
          <w:rFonts w:ascii="Arial" w:cs="Arial" w:eastAsia="Arial" w:hAnsi="Arial"/>
          <w:sz w:val="22"/>
          <w:szCs w:val="22"/>
        </w:rPr>
        <w:t xml:space="preserve">GSTN | FAQ on GSTR-9/9C for FY 2024-25 | Published October 2025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Brief: </w:t>
      </w:r>
      <w:r>
        <w:rPr>
          <w:rFonts w:ascii="Arial" w:cs="Arial" w:eastAsia="Arial" w:hAnsi="Arial"/>
          <w:sz w:val="22"/>
          <w:szCs w:val="22"/>
        </w:rPr>
        <w:t xml:space="preserve">Significant changes to ITC reporting, auto-population logic, and a new separate late fee for GSTR-9C. New tables 6A1 and 8H1 require careful attention. All GSTR-1 and GSTR-3B returns for FY 2024-25 must be filed before the portal enables GSTR-9/9C.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Changes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Earlier Reporting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Reporting (FY 2024-25)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6A1 (new)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ITC for current and previous FY was auto-populated cumulatively in Table 6A.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row to separately report ITC of FY 2023-24 availed in FY 2024-25. Excludes Rule 37/37A reclaims.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6B, 6H, 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clarity on ITC claimed, reversed, and reclaimed in same FY.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in sequence: first-time claim in 6B, reversal in Table 7, reclaim in 6H.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 to 6H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 ITC of current and previous FY together.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only current FY ITC. Prior FY ITC goes to 6A1.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from GSTR-2B of the FY only.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from GSTR-2B of FY 2024-25 plus April–October 2025 invoices pertaining to FY 2024-25.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from Table 6B + Table 6H.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from Table 6B only. Delinked from 6H.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8H1 (new)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reporting required.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ITC on goods imported in FY 2024-25 but availed in FY 2025-26.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difference column.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column auto-calculates difference between tax payable (GSTR-9) and tax paid (GSTR-3B).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all ITC claimed later, including reclaims.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ITC of current FY availed in next FY (till 30 Nov) + ITC reversed in current FY and reclaimed in next FY (except Rule 37/37A).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GSTR-9C: Separate reporting required for supplies where tax is paid by the e-commerce operator.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11 updated to allow additional tax payment due to turnover mismatch via both cash and ITC. Earlier: cash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 17: late fee for GSTR-9C filed after GSTR-9, computed from the later of GSTR-9 filing date or annual return due date, until GSTR-9C filing date.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all GSTR-1 and GSTR-3B returns for FY 2024-25 — the portal blocks GSTR-9/9C until these are complete.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Segregate prior-year ITC: report ITC of FY 2023-24 availed in FY 2024-25 in the new Table 6A1, excluding Rule 37/37A reclaims.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ITC claimed, reversed, and reclaimed within FY 2024-25, follow the 6B → 7 → 6H sequence strictly.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online Table 8A value (not the Excel download) as the final reconciliation figure.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ITC on imports made in FY 2024-25 but availed in FY 2025-26 in the new Table 8H1 — do not include this in Table 6E.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and pay GSTR-9C late fees separately if filing 9C after 9 and beyond the due date.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Exceptions &amp;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GSTR-9/9C is only enabled after all GSTR-1 and GSTR-3B returns are filed.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65% concessional rate checkbox removed from Tables 17 and 18 for FY 2024-25.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ITC reclaimed under Rule 37/37A is treated as ITC of the year of reclaim, not the year of original reversal.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8A: Excel vs. online mismatch — the downloadable Excel may include records (RCM supplies, certain amendments) not in the online auto-populated value. GSTN says the online value is correct. Use Excel for reference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"Specified time period" used inconsistently: The FAQ refers to deadlines like "April 2025 to October 2025" and "30 November 2025" without a single consistent definition. Verify the exact cut-off for each reporting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FY 2025-26 guidance is provisional: Examples for next year's reporting are explicitly noted as being "based on the current notified form" and "subject to change."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2026-03-16T07:07:09.249Z</dcterms:created>
  <dcterms:modified xsi:type="dcterms:W3CDTF">2026-03-16T07:07:09.249Z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