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28"/>
          <w:szCs w:val="28"/>
        </w:rPr>
        <w:t xml:space="preserve">GST 2.0 — Key Impact Areas and Way Forward for Business</w:t>
      </w:r>
    </w:p>
    <w:p>
      <w:pPr>
        <w:spacing w:after="200"/>
      </w:pPr>
      <w:r>
        <w:rPr>
          <w:rFonts w:ascii="Arial" w:cs="Arial" w:eastAsia="Arial" w:hAnsi="Arial"/>
          <w:b/>
          <w:bCs/>
          <w:sz w:val="22"/>
          <w:szCs w:val="22"/>
        </w:rPr>
        <w:t xml:space="preserve">Circular Reference: </w:t>
      </w:r>
      <w:r>
        <w:rPr>
          <w:rFonts w:ascii="Arial" w:cs="Arial" w:eastAsia="Arial" w:hAnsi="Arial"/>
          <w:sz w:val="22"/>
          <w:szCs w:val="22"/>
        </w:rPr>
        <w:t xml:space="preserve">56th GST Council Meeting | 3 September 2025 | Effective 22 September 2025</w:t>
      </w:r>
    </w:p>
    <w:p>
      <w:pPr>
        <w:spacing w:after="200"/>
      </w:pPr>
      <w:r>
        <w:rPr>
          <w:rFonts w:ascii="Arial" w:cs="Arial" w:eastAsia="Arial" w:hAnsi="Arial"/>
          <w:b/>
          <w:bCs/>
          <w:sz w:val="22"/>
          <w:szCs w:val="22"/>
        </w:rPr>
        <w:t xml:space="preserve">In Brief: </w:t>
      </w:r>
      <w:r>
        <w:rPr>
          <w:rFonts w:ascii="Arial" w:cs="Arial" w:eastAsia="Arial" w:hAnsi="Arial"/>
          <w:sz w:val="22"/>
          <w:szCs w:val="22"/>
        </w:rPr>
        <w:t xml:space="preserve">The 56th GST Council Meeting approved a fundamental restructuring of India's GST rate architecture — collapsing the existing four-tier structure into a simplified framework of three rates: 5% (merit), 18% (standard), and 40% (de-merit). Rate changes on goods (except tobacco products) and all services take effect from 22 September 2025, giving businesses under three weeks to reconfigure pricing, systems, and contracts.</w:t>
      </w:r>
    </w:p>
    <w:p>
      <w:pPr>
        <w:spacing w:after="100" w:before="200"/>
      </w:pPr>
      <w:r>
        <w:rPr>
          <w:rFonts w:ascii="Arial" w:cs="Arial" w:eastAsia="Arial" w:hAnsi="Arial"/>
          <w:b/>
          <w:bCs/>
          <w:sz w:val="24"/>
          <w:szCs w:val="24"/>
        </w:rPr>
        <w:t xml:space="preserve">Key Changes</w:t>
      </w:r>
    </w:p>
    <w:p>
      <w:pPr>
        <w:pStyle w:val="ListParagraph"/>
        <w:numPr>
          <w:ilvl w:val="0"/>
          <w:numId w:val="2"/>
        </w:numPr>
        <w:spacing w:after="80"/>
      </w:pPr>
      <w:r>
        <w:rPr>
          <w:rFonts w:ascii="Arial" w:cs="Arial" w:eastAsia="Arial" w:hAnsi="Arial"/>
          <w:sz w:val="22"/>
          <w:szCs w:val="22"/>
        </w:rPr>
        <w:t xml:space="preserve">Three-Slab Consolidation: The 12% slab is eliminated entirely. All goods and services move to 5% (merit), 18% (standard), or 40% (de-merit). Previously, four active rate slabs existed at 5%, 12%, 18%, and 28%.</w:t>
      </w:r>
    </w:p>
    <w:p>
      <w:pPr>
        <w:pStyle w:val="ListParagraph"/>
        <w:numPr>
          <w:ilvl w:val="0"/>
          <w:numId w:val="2"/>
        </w:numPr>
        <w:spacing w:after="80"/>
      </w:pPr>
      <w:r>
        <w:rPr>
          <w:rFonts w:ascii="Arial" w:cs="Arial" w:eastAsia="Arial" w:hAnsi="Arial"/>
          <w:sz w:val="22"/>
          <w:szCs w:val="22"/>
        </w:rPr>
        <w:t xml:space="preserve">FMCG Mass Reductions: Hair oil, toilet soap bars, shampoos, toothbrushes, toothpaste, bicycles, tableware, kitchenware, and other household articles reduced to 5%. Previously 12% or 18%.</w:t>
      </w:r>
    </w:p>
    <w:p>
      <w:pPr>
        <w:pStyle w:val="ListParagraph"/>
        <w:numPr>
          <w:ilvl w:val="0"/>
          <w:numId w:val="2"/>
        </w:numPr>
        <w:spacing w:after="80"/>
      </w:pPr>
      <w:r>
        <w:rPr>
          <w:rFonts w:ascii="Arial" w:cs="Arial" w:eastAsia="Arial" w:hAnsi="Arial"/>
          <w:sz w:val="22"/>
          <w:szCs w:val="22"/>
        </w:rPr>
        <w:t xml:space="preserve">Food Items — Near-Universal 5%: Packaged namkeens, bhujia, sauces, pasta, instant noodles, chocolates, coffee, preserved meat, cornflakes, butter, and ghee reduced to 5%. UHT milk, prepackaged chena/paneer, and all Indian breads reduced to NIL.</w:t>
      </w:r>
    </w:p>
    <w:p>
      <w:pPr>
        <w:pStyle w:val="ListParagraph"/>
        <w:numPr>
          <w:ilvl w:val="0"/>
          <w:numId w:val="2"/>
        </w:numPr>
        <w:spacing w:after="80"/>
      </w:pPr>
      <w:r>
        <w:rPr>
          <w:rFonts w:ascii="Arial" w:cs="Arial" w:eastAsia="Arial" w:hAnsi="Arial"/>
          <w:sz w:val="22"/>
          <w:szCs w:val="22"/>
        </w:rPr>
        <w:t xml:space="preserve">Automobiles — 28% to 18%: Small cars, motorcycles up to 350cc, three-wheelers, buses, trucks, and ambulances reduced to 18%. Air-conditioning machines, TVs up to 32 inches, and dishwashing machines also move from 28% to 18%. All auto parts at uniform 18%.</w:t>
      </w:r>
    </w:p>
    <w:p>
      <w:pPr>
        <w:pStyle w:val="ListParagraph"/>
        <w:numPr>
          <w:ilvl w:val="0"/>
          <w:numId w:val="2"/>
        </w:numPr>
        <w:spacing w:after="80"/>
      </w:pPr>
      <w:r>
        <w:rPr>
          <w:rFonts w:ascii="Arial" w:cs="Arial" w:eastAsia="Arial" w:hAnsi="Arial"/>
          <w:sz w:val="22"/>
          <w:szCs w:val="22"/>
        </w:rPr>
        <w:t xml:space="preserve">Cement: Reduced from 28% to 18%.</w:t>
      </w:r>
    </w:p>
    <w:p>
      <w:pPr>
        <w:pStyle w:val="ListParagraph"/>
        <w:numPr>
          <w:ilvl w:val="0"/>
          <w:numId w:val="2"/>
        </w:numPr>
        <w:spacing w:after="80"/>
      </w:pPr>
      <w:r>
        <w:rPr>
          <w:rFonts w:ascii="Arial" w:cs="Arial" w:eastAsia="Arial" w:hAnsi="Arial"/>
          <w:sz w:val="22"/>
          <w:szCs w:val="22"/>
        </w:rPr>
        <w:t xml:space="preserve">Pharmaceuticals — Lifesaving Drugs: 33 lifesaving drugs reduced from 12% to NIL; 3 additional drugs for cancer and rare diseases from 5% to NIL. All other drugs reduced from 12% to 5%. Medical devices and diagnostic equipment drop to 5%.</w:t>
      </w:r>
    </w:p>
    <w:p>
      <w:pPr>
        <w:pStyle w:val="ListParagraph"/>
        <w:numPr>
          <w:ilvl w:val="0"/>
          <w:numId w:val="2"/>
        </w:numPr>
        <w:spacing w:after="80"/>
      </w:pPr>
      <w:r>
        <w:rPr>
          <w:rFonts w:ascii="Arial" w:cs="Arial" w:eastAsia="Arial" w:hAnsi="Arial"/>
          <w:sz w:val="22"/>
          <w:szCs w:val="22"/>
        </w:rPr>
        <w:t xml:space="preserve">Insurance — Individual Policies Exempt: All individual life and health insurance policies (including family floater and senior citizen) along with reinsurance are exempt from GST. Group policies remain taxable.</w:t>
      </w:r>
    </w:p>
    <w:p>
      <w:pPr>
        <w:pStyle w:val="ListParagraph"/>
        <w:numPr>
          <w:ilvl w:val="0"/>
          <w:numId w:val="2"/>
        </w:numPr>
        <w:spacing w:after="80"/>
      </w:pPr>
      <w:r>
        <w:rPr>
          <w:rFonts w:ascii="Arial" w:cs="Arial" w:eastAsia="Arial" w:hAnsi="Arial"/>
          <w:sz w:val="22"/>
          <w:szCs w:val="22"/>
        </w:rPr>
        <w:t xml:space="preserve">Textiles — Inverted Duty Correction: Manmade fibre reduced from 18% to 5%; manmade yarn from 12% to 5%.</w:t>
      </w:r>
    </w:p>
    <w:p>
      <w:pPr>
        <w:pStyle w:val="ListParagraph"/>
        <w:numPr>
          <w:ilvl w:val="0"/>
          <w:numId w:val="2"/>
        </w:numPr>
        <w:spacing w:after="80"/>
      </w:pPr>
      <w:r>
        <w:rPr>
          <w:rFonts w:ascii="Arial" w:cs="Arial" w:eastAsia="Arial" w:hAnsi="Arial"/>
          <w:sz w:val="22"/>
          <w:szCs w:val="22"/>
        </w:rPr>
        <w:t xml:space="preserve">IDS Provisional Refunds: 90% provisional refund for inverted duty structure claims on risk-assessment basis, from 1 November 2025.</w:t>
      </w:r>
    </w:p>
    <w:p>
      <w:pPr>
        <w:pStyle w:val="ListParagraph"/>
        <w:numPr>
          <w:ilvl w:val="0"/>
          <w:numId w:val="2"/>
        </w:numPr>
        <w:spacing w:after="80"/>
      </w:pPr>
      <w:r>
        <w:rPr>
          <w:rFonts w:ascii="Arial" w:cs="Arial" w:eastAsia="Arial" w:hAnsi="Arial"/>
          <w:sz w:val="22"/>
          <w:szCs w:val="22"/>
        </w:rPr>
        <w:t xml:space="preserve">Tobacco Products — Status Quo: Pan masala, gutkha, cigarettes, chewing tobacco continue at existing rates until compensation cess obligations are discharged. GST on these will be levied on Retail Sale Price instead of transaction value.</w:t>
      </w:r>
    </w:p>
    <w:p>
      <w:pPr>
        <w:pStyle w:val="ListParagraph"/>
        <w:numPr>
          <w:ilvl w:val="0"/>
          <w:numId w:val="2"/>
        </w:numPr>
        <w:spacing w:after="80"/>
      </w:pPr>
      <w:r>
        <w:rPr>
          <w:rFonts w:ascii="Arial" w:cs="Arial" w:eastAsia="Arial" w:hAnsi="Arial"/>
          <w:sz w:val="22"/>
          <w:szCs w:val="22"/>
        </w:rPr>
        <w:t xml:space="preserve">Sector Impacts: Automobile (uniform 18%, cess position unclear), Insurance (ITC reversal for exempt individual policies), Pharma (ITC accumulation from inverted structure), Construction (cement reduction benefits full-ITC projects), FMCG (MRP relabeling, ITC accumulation), Logistics (GTA binary choice between 5% without ITC or 18% with ITC).</w:t>
      </w:r>
    </w:p>
    <w:p>
      <w:pPr>
        <w:spacing w:after="100" w:before="200"/>
      </w:pPr>
      <w:r>
        <w:rPr>
          <w:rFonts w:ascii="Arial" w:cs="Arial" w:eastAsia="Arial" w:hAnsi="Arial"/>
          <w:b/>
          <w:bCs/>
          <w:sz w:val="24"/>
          <w:szCs w:val="24"/>
        </w:rPr>
        <w:t xml:space="preserve">Action Items</w:t>
      </w:r>
    </w:p>
    <w:p>
      <w:pPr>
        <w:pStyle w:val="ListParagraph"/>
        <w:numPr>
          <w:ilvl w:val="0"/>
          <w:numId w:val="3"/>
        </w:numPr>
        <w:spacing w:after="80"/>
      </w:pPr>
      <w:r>
        <w:rPr>
          <w:rFonts w:ascii="Arial" w:cs="Arial" w:eastAsia="Arial" w:hAnsi="Arial"/>
          <w:sz w:val="22"/>
          <w:szCs w:val="22"/>
        </w:rPr>
        <w:t xml:space="preserve">Map every active HSN and SAC code in your ERP to the revised rate — flag items moving between slabs and items becoming exempt. Complete by 15 September 2025.</w:t>
      </w:r>
    </w:p>
    <w:p>
      <w:pPr>
        <w:pStyle w:val="ListParagraph"/>
        <w:numPr>
          <w:ilvl w:val="0"/>
          <w:numId w:val="3"/>
        </w:numPr>
        <w:spacing w:after="80"/>
      </w:pPr>
      <w:r>
        <w:rPr>
          <w:rFonts w:ascii="Arial" w:cs="Arial" w:eastAsia="Arial" w:hAnsi="Arial"/>
          <w:sz w:val="22"/>
          <w:szCs w:val="22"/>
        </w:rPr>
        <w:t xml:space="preserve">Reconfigure GST tax engines, billing software, and e-invoicing templates to reflect three-slab rates before 22 September 2025.</w:t>
      </w:r>
    </w:p>
    <w:p>
      <w:pPr>
        <w:pStyle w:val="ListParagraph"/>
        <w:numPr>
          <w:ilvl w:val="0"/>
          <w:numId w:val="3"/>
        </w:numPr>
        <w:spacing w:after="80"/>
      </w:pPr>
      <w:r>
        <w:rPr>
          <w:rFonts w:ascii="Arial" w:cs="Arial" w:eastAsia="Arial" w:hAnsi="Arial"/>
          <w:sz w:val="22"/>
          <w:szCs w:val="22"/>
        </w:rPr>
        <w:t xml:space="preserve">Run ITC impact simulations for each business vertical — identify where output rate reductions create new inverted duty positions or convert taxable supplies to exempt.</w:t>
      </w:r>
    </w:p>
    <w:p>
      <w:pPr>
        <w:pStyle w:val="ListParagraph"/>
        <w:numPr>
          <w:ilvl w:val="0"/>
          <w:numId w:val="3"/>
        </w:numPr>
        <w:spacing w:after="80"/>
      </w:pPr>
      <w:r>
        <w:rPr>
          <w:rFonts w:ascii="Arial" w:cs="Arial" w:eastAsia="Arial" w:hAnsi="Arial"/>
          <w:sz w:val="22"/>
          <w:szCs w:val="22"/>
        </w:rPr>
        <w:t xml:space="preserve">Compute Section 17(2) proportional ITC reversal for any supply category moving to exempt status.</w:t>
      </w:r>
    </w:p>
    <w:p>
      <w:pPr>
        <w:pStyle w:val="ListParagraph"/>
        <w:numPr>
          <w:ilvl w:val="0"/>
          <w:numId w:val="3"/>
        </w:numPr>
        <w:spacing w:after="80"/>
      </w:pPr>
      <w:r>
        <w:rPr>
          <w:rFonts w:ascii="Arial" w:cs="Arial" w:eastAsia="Arial" w:hAnsi="Arial"/>
          <w:sz w:val="22"/>
          <w:szCs w:val="22"/>
        </w:rPr>
        <w:t xml:space="preserve">Review all long-term supply contracts, works contracts, and rate agreements for GST rate change clauses — issue renegotiation notices.</w:t>
      </w:r>
    </w:p>
    <w:p>
      <w:pPr>
        <w:pStyle w:val="ListParagraph"/>
        <w:numPr>
          <w:ilvl w:val="0"/>
          <w:numId w:val="3"/>
        </w:numPr>
        <w:spacing w:after="80"/>
      </w:pPr>
      <w:r>
        <w:rPr>
          <w:rFonts w:ascii="Arial" w:cs="Arial" w:eastAsia="Arial" w:hAnsi="Arial"/>
          <w:sz w:val="22"/>
          <w:szCs w:val="22"/>
        </w:rPr>
        <w:t xml:space="preserve">Relabel MRP on all affected packaged goods under Legal Metrology rules.</w:t>
      </w:r>
    </w:p>
    <w:p>
      <w:pPr>
        <w:pStyle w:val="ListParagraph"/>
        <w:numPr>
          <w:ilvl w:val="0"/>
          <w:numId w:val="3"/>
        </w:numPr>
        <w:spacing w:after="80"/>
      </w:pPr>
      <w:r>
        <w:rPr>
          <w:rFonts w:ascii="Arial" w:cs="Arial" w:eastAsia="Arial" w:hAnsi="Arial"/>
          <w:sz w:val="22"/>
          <w:szCs w:val="22"/>
        </w:rPr>
        <w:t xml:space="preserve">Prepare anti-profiteering documentation showing commensurate price reduction calculations for every SKU where GST rates drop.</w:t>
      </w:r>
    </w:p>
    <w:p>
      <w:pPr>
        <w:pStyle w:val="ListParagraph"/>
        <w:numPr>
          <w:ilvl w:val="0"/>
          <w:numId w:val="3"/>
        </w:numPr>
        <w:spacing w:after="80"/>
      </w:pPr>
      <w:r>
        <w:rPr>
          <w:rFonts w:ascii="Arial" w:cs="Arial" w:eastAsia="Arial" w:hAnsi="Arial"/>
          <w:sz w:val="22"/>
          <w:szCs w:val="22"/>
        </w:rPr>
        <w:t xml:space="preserve">File accumulated ITC refund claims under Rule 89(5) before the rate change date — post-change refund eligibility may alter.</w:t>
      </w:r>
    </w:p>
    <w:p>
      <w:pPr>
        <w:pStyle w:val="ListParagraph"/>
        <w:numPr>
          <w:ilvl w:val="0"/>
          <w:numId w:val="3"/>
        </w:numPr>
        <w:spacing w:after="80"/>
      </w:pPr>
      <w:r>
        <w:rPr>
          <w:rFonts w:ascii="Arial" w:cs="Arial" w:eastAsia="Arial" w:hAnsi="Arial"/>
          <w:sz w:val="22"/>
          <w:szCs w:val="22"/>
        </w:rPr>
        <w:t xml:space="preserve">Reassess GTA service option (5% without ITC vs. 18% with ITC) based on actual input cost structure.</w:t>
      </w:r>
    </w:p>
    <w:p>
      <w:pPr>
        <w:pStyle w:val="ListParagraph"/>
        <w:numPr>
          <w:ilvl w:val="0"/>
          <w:numId w:val="3"/>
        </w:numPr>
        <w:spacing w:after="80"/>
      </w:pPr>
      <w:r>
        <w:rPr>
          <w:rFonts w:ascii="Arial" w:cs="Arial" w:eastAsia="Arial" w:hAnsi="Arial"/>
          <w:sz w:val="22"/>
          <w:szCs w:val="22"/>
        </w:rPr>
        <w:t xml:space="preserve">Verify compensation cess applicability on automobiles post-rate reduction.</w:t>
      </w:r>
    </w:p>
    <w:p>
      <w:pPr>
        <w:pStyle w:val="ListParagraph"/>
        <w:numPr>
          <w:ilvl w:val="0"/>
          <w:numId w:val="3"/>
        </w:numPr>
        <w:spacing w:after="80"/>
      </w:pPr>
      <w:r>
        <w:rPr>
          <w:rFonts w:ascii="Arial" w:cs="Arial" w:eastAsia="Arial" w:hAnsi="Arial"/>
          <w:sz w:val="22"/>
          <w:szCs w:val="22"/>
        </w:rPr>
        <w:t xml:space="preserve">Prepare GSTAT appeal filings for pending disputed demands — appeals accepted from September 2025 with backlog limitation of 30 June 2026.</w:t>
      </w:r>
    </w:p>
    <w:p>
      <w:pPr>
        <w:pStyle w:val="ListParagraph"/>
        <w:numPr>
          <w:ilvl w:val="0"/>
          <w:numId w:val="3"/>
        </w:numPr>
        <w:spacing w:after="80"/>
      </w:pPr>
      <w:r>
        <w:rPr>
          <w:rFonts w:ascii="Arial" w:cs="Arial" w:eastAsia="Arial" w:hAnsi="Arial"/>
          <w:sz w:val="22"/>
          <w:szCs w:val="22"/>
        </w:rPr>
        <w:t xml:space="preserve">Reconcile transitional stock across the supply chain — goods purchased at old rates but sold post-22 September require credit note or differential pricing treatment.</w:t>
      </w:r>
    </w:p>
    <w:p>
      <w:pPr>
        <w:spacing w:after="100" w:before="200"/>
      </w:pPr>
      <w:r>
        <w:rPr>
          <w:rFonts w:ascii="Arial" w:cs="Arial" w:eastAsia="Arial" w:hAnsi="Arial"/>
          <w:b/>
          <w:bCs/>
          <w:sz w:val="24"/>
          <w:szCs w:val="24"/>
        </w:rPr>
        <w:t xml:space="preserve">Additional Notes</w:t>
      </w:r>
    </w:p>
    <w:p>
      <w:pPr>
        <w:pStyle w:val="ListParagraph"/>
        <w:numPr>
          <w:ilvl w:val="0"/>
          <w:numId w:val="2"/>
        </w:numPr>
        <w:spacing w:after="80"/>
      </w:pPr>
      <w:r>
        <w:rPr>
          <w:rFonts w:ascii="Arial" w:cs="Arial" w:eastAsia="Arial" w:hAnsi="Arial"/>
          <w:sz w:val="22"/>
          <w:szCs w:val="22"/>
        </w:rPr>
        <w:t xml:space="preserve">ITC Accumulation Risk. The most consequential systemic risk from this reform is ITC pile-up. Where output rates drop to 5% but key input categories (packaging at 18%, advertising at 18%, professional services at 18%, capital goods at 18%) remain unchanged, the credit-to-liability ratio inverts sharply. Pharma, FMCG, and textiles are the primary affected sectors. The IDS refund mechanism helps, but Rule 89(5) formula caps refunds at the ratio of inverted inputs to net ITC — businesses with mixed supplies or exempt outputs get a reduced refund quantum. Cash-flow modelling must account for refund processing delays even with the 90% provisional mechanism.</w:t>
      </w:r>
    </w:p>
    <w:p>
      <w:pPr>
        <w:pStyle w:val="ListParagraph"/>
        <w:numPr>
          <w:ilvl w:val="0"/>
          <w:numId w:val="2"/>
        </w:numPr>
        <w:spacing w:after="80"/>
      </w:pPr>
      <w:r>
        <w:rPr>
          <w:rFonts w:ascii="Arial" w:cs="Arial" w:eastAsia="Arial" w:hAnsi="Arial"/>
          <w:sz w:val="22"/>
          <w:szCs w:val="22"/>
        </w:rPr>
        <w:t xml:space="preserve">Section 18(4) Reversal on Newly Exempt Supplies. Where goods or services transition from taxable to exempt (individual insurance, UHT milk, paneer, Indian breads, 36 lifesaving drugs), Section 18(4) read with Rule 44 requires reversal of ITC on inputs held in stock, inputs in semi-finished goods, inputs in finished goods, and capital goods, as on the date of exemption. Insurers, dairy processors, and pharma companies must conduct physical stock counts on 21 September 2025 and compute reversal amounts. The reversal is via ITC-03 filing. Missing this reversal triggers interest under Section 50 and potential demand under Section 73/74.</w:t>
      </w:r>
    </w:p>
    <w:p>
      <w:pPr>
        <w:pStyle w:val="ListParagraph"/>
        <w:numPr>
          <w:ilvl w:val="0"/>
          <w:numId w:val="2"/>
        </w:numPr>
        <w:spacing w:after="80"/>
      </w:pPr>
      <w:r>
        <w:rPr>
          <w:rFonts w:ascii="Arial" w:cs="Arial" w:eastAsia="Arial" w:hAnsi="Arial"/>
          <w:sz w:val="22"/>
          <w:szCs w:val="22"/>
        </w:rPr>
        <w:t xml:space="preserve">Working Capital Disruption. Businesses that were net ITC consumers (output rate &gt; input rate) now become net ITC accumulators (output rate &lt; input rate). The cash previously available from net tax collection now becomes locked-up credit. Treasury teams must reforecast monthly GST cash flows. For capital-intensive sectors transitioning from 28% to 18% output (automobiles, cement), the reduction in output liability shrinks the ITC absorption capacity — accumulated credit balances from capital expenditure will take longer to utilize.</w:t>
      </w:r>
    </w:p>
    <w:p>
      <w:pPr>
        <w:pStyle w:val="ListParagraph"/>
        <w:numPr>
          <w:ilvl w:val="0"/>
          <w:numId w:val="2"/>
        </w:numPr>
        <w:spacing w:after="80"/>
      </w:pPr>
      <w:r>
        <w:rPr>
          <w:rFonts w:ascii="Arial" w:cs="Arial" w:eastAsia="Arial" w:hAnsi="Arial"/>
          <w:sz w:val="22"/>
          <w:szCs w:val="22"/>
        </w:rPr>
        <w:t xml:space="preserve">ERP and Billing System Overhaul. The 22 September 2025 deadline leaves approximately 19 days from announcement. Tax determination logic in SAP, Oracle, Tally, and custom ERP systems must be updated with new HSN-rate mappings. E-invoicing schemas (IRN generation) pull rates from master data — stale masters will generate incorrect IRNs and trigger validation failures on the GST portal. Test all invoice flows in sandbox before go-live. Coordinate with GSP/ASP providers for API updates.</w:t>
      </w:r>
    </w:p>
    <w:p>
      <w:pPr>
        <w:pStyle w:val="ListParagraph"/>
        <w:numPr>
          <w:ilvl w:val="0"/>
          <w:numId w:val="2"/>
        </w:numPr>
        <w:spacing w:after="80"/>
      </w:pPr>
      <w:r>
        <w:rPr>
          <w:rFonts w:ascii="Arial" w:cs="Arial" w:eastAsia="Arial" w:hAnsi="Arial"/>
          <w:sz w:val="22"/>
          <w:szCs w:val="22"/>
        </w:rPr>
        <w:t xml:space="preserve">State Industrial Incentive Recalibration. Several states offer investment incentives structured as GST reimbursements — typically a percentage of SGST paid. Where output rates drop, the absolute incentive amount reduces proportionally even if the percentage stays constant. Businesses relying on state incentive schemes (particularly in manufacturing SEZs and industrial parks) must recalculate the net present value of incentive packages and engage with state industrial development authorities for revised terms.</w:t>
      </w:r>
    </w:p>
    <w:p>
      <w:pPr>
        <w:pStyle w:val="ListParagraph"/>
        <w:numPr>
          <w:ilvl w:val="0"/>
          <w:numId w:val="2"/>
        </w:numPr>
        <w:spacing w:after="80"/>
      </w:pPr>
      <w:r>
        <w:rPr>
          <w:rFonts w:ascii="Arial" w:cs="Arial" w:eastAsia="Arial" w:hAnsi="Arial"/>
          <w:sz w:val="22"/>
          <w:szCs w:val="22"/>
        </w:rPr>
        <w:t xml:space="preserve">GSTAT Preparation. With GSTAT accepting appeals from September 2025 and hearings from December 2025, the backlog limitation date of 30 June 2026 creates a hard filing window. Every demand order, refund rejection, and adverse ruling from 1 July 2017 to date that was previously unappealable (due to GSTAT non-existence) now has a defined appeal window. Audit teams must inventory all such orders, compute duty-interest-penalty exposure, quantify appeal economics (likelihood of success vs. cost), and prepare appeal memoranda.</w:t>
      </w:r>
    </w:p>
    <w:p>
      <w:pPr>
        <w:pStyle w:val="ListParagraph"/>
        <w:numPr>
          <w:ilvl w:val="0"/>
          <w:numId w:val="2"/>
        </w:numPr>
        <w:spacing w:after="80"/>
      </w:pPr>
      <w:r>
        <w:rPr>
          <w:rFonts w:ascii="Arial" w:cs="Arial" w:eastAsia="Arial" w:hAnsi="Arial"/>
          <w:sz w:val="22"/>
          <w:szCs w:val="22"/>
        </w:rPr>
        <w:t xml:space="preserve">Contract Review and Renegotiation. Rate reductions do not automatically flow through supply chains. Contracts with fixed consideration (inclusive of GST) give the supplier a windfall. Contracts with GST charged separately (exclusive basis) pass the reduction to the buyer automatically. Review every material contract — supply agreements, lease deeds, service agreements, works contracts, franchise agreements — and classify by pricing mechanism. Anti-profiteering complaints from customers are a real risk for suppliers who fail to pass through reductions.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 w:type="paragraph" w:styleId="Heading2">
    <w:name w:val="Heading 2"/>
    <w:basedOn w:val="Normal"/>
    <w:next w:val="Normal"/>
    <w:qFormat/>
    <w:pPr>
      <w:spacing w:after="10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2026-03-16T07:07:09.376Z</dcterms:created>
  <dcterms:modified xsi:type="dcterms:W3CDTF">2026-03-16T07:07:09.376Z</dcterms:modified>
</cp:coreProperties>
</file>

<file path=docProps/custom.xml><?xml version="1.0" encoding="utf-8"?>
<Properties xmlns="http://schemas.openxmlformats.org/officeDocument/2006/custom-properties" xmlns:vt="http://schemas.openxmlformats.org/officeDocument/2006/docPropsVTypes"/>
</file>