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Performance Report 2024</w:t>
      </w:r>
    </w:p>
    <w:p>
      <w:pPr>
        <w:pStyle w:val="Heading1"/>
      </w:pPr>
      <w:r>
        <w:t>Executive Summary</w:t>
      </w:r>
    </w:p>
    <w:p>
      <w:r>
        <w:t>This report summarises the financial and operational performance of the organisation during fiscal year 2024. Overall revenue grew by 12% compared to the prior year, driven primarily by expansion in the Asia-Pacific region.</w:t>
      </w:r>
    </w:p>
    <w:p>
      <w:r>
        <w:t>Operating costs remained stable at approximately 68% of total revenue. Capital expenditure increased by 8% due to the new datacenter investment.</w:t>
      </w:r>
    </w:p>
    <w:p>
      <w:pPr>
        <w:pStyle w:val="Heading1"/>
      </w:pPr>
      <w:r>
        <w:t>Financial Highlights</w:t>
      </w:r>
    </w:p>
    <w:p>
      <w:r>
        <w:t>Total revenue for fiscal 2024 was $4.2 billion, representing a 12% year-over-year increase. Net income reached $620 million, a 15% improvement.</w:t>
      </w:r>
    </w:p>
    <w:p>
      <w:pPr>
        <w:pStyle w:val="Heading2"/>
      </w:pPr>
      <w:r>
        <w:t>Quarterly Breakdown</w:t>
      </w:r>
    </w:p>
    <w:p>
      <w:r>
        <w:t>Q1 delivered strong results with revenue of $980M. Q2 continued the trend with $1,050M. Q3 and Q4 maintained similar performance levels.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Revenue ($M)</w:t>
            </w:r>
          </w:p>
        </w:tc>
        <w:tc>
          <w:tcPr>
            <w:tcW w:type="dxa" w:w="2160"/>
          </w:tcPr>
          <w:p>
            <w:r>
              <w:t>Profit ($M)</w:t>
            </w:r>
          </w:p>
        </w:tc>
        <w:tc>
          <w:tcPr>
            <w:tcW w:type="dxa" w:w="2160"/>
          </w:tcPr>
          <w:p>
            <w:r>
              <w:t>Margin (%)</w:t>
            </w:r>
          </w:p>
        </w:tc>
      </w:tr>
      <w:tr>
        <w:tc>
          <w:tcPr>
            <w:tcW w:type="dxa" w:w="2160"/>
          </w:tcPr>
          <w:p>
            <w:r>
              <w:t>Q1 2024</w:t>
            </w:r>
          </w:p>
        </w:tc>
        <w:tc>
          <w:tcPr>
            <w:tcW w:type="dxa" w:w="2160"/>
          </w:tcPr>
          <w:p>
            <w:r>
              <w:t>980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</w:tr>
      <w:tr>
        <w:tc>
          <w:tcPr>
            <w:tcW w:type="dxa" w:w="2160"/>
          </w:tcPr>
          <w:p>
            <w:r>
              <w:t>Q2 2024</w:t>
            </w:r>
          </w:p>
        </w:tc>
        <w:tc>
          <w:tcPr>
            <w:tcW w:type="dxa" w:w="2160"/>
          </w:tcPr>
          <w:p>
            <w:r>
              <w:t>1050</w:t>
            </w:r>
          </w:p>
        </w:tc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</w:tr>
      <w:tr>
        <w:tc>
          <w:tcPr>
            <w:tcW w:type="dxa" w:w="2160"/>
          </w:tcPr>
          <w:p>
            <w:r>
              <w:t>Q3 2024</w:t>
            </w:r>
          </w:p>
        </w:tc>
        <w:tc>
          <w:tcPr>
            <w:tcW w:type="dxa" w:w="2160"/>
          </w:tcPr>
          <w:p>
            <w:r>
              <w:t>1080</w:t>
            </w:r>
          </w:p>
        </w:tc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15.6</w:t>
            </w:r>
          </w:p>
        </w:tc>
      </w:tr>
      <w:tr>
        <w:tc>
          <w:tcPr>
            <w:tcW w:type="dxa" w:w="2160"/>
          </w:tcPr>
          <w:p>
            <w:r>
              <w:t>Q4 2024</w:t>
            </w:r>
          </w:p>
        </w:tc>
        <w:tc>
          <w:tcPr>
            <w:tcW w:type="dxa" w:w="2160"/>
          </w:tcPr>
          <w:p>
            <w:r>
              <w:t>1090</w:t>
            </w:r>
          </w:p>
        </w:tc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13.9</w:t>
            </w:r>
          </w:p>
        </w:tc>
      </w:tr>
    </w:tbl>
    <w:p>
      <w:pPr>
        <w:pStyle w:val="Heading1"/>
      </w:pPr>
      <w:r>
        <w:t>Conclusion</w:t>
      </w:r>
    </w:p>
    <w:p>
      <w:r>
        <w:t>Management remains confident in the organisation's growth trajectory for fiscal 2025. Guidance for next year projects revenue growth of 8-10% with stable operating margins.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