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120"/>
        <w:jc w:val="center"/>
      </w:pPr>
      <w:r>
        <w:rPr>
          <w:rFonts w:ascii="Arial" w:cs="Arial" w:eastAsia="Arial" w:hAnsi="Arial"/>
          <w:b/>
          <w:bCs/>
          <w:color w:val="1F3864"/>
          <w:sz w:val="28"/>
          <w:szCs w:val="28"/>
        </w:rPr>
        <w:t xml:space="preserve">VIT Bhopal University</w:t>
      </w:r>
    </w:p>
    <w:p>
      <w:pPr>
        <w:spacing w:before="0" w:after="320"/>
        <w:jc w:val="center"/>
      </w:pPr>
      <w:r>
        <w:rPr>
          <w:rFonts w:ascii="Arial" w:cs="Arial" w:eastAsia="Arial" w:hAnsi="Arial"/>
          <w:color w:val="444444"/>
          <w:sz w:val="24"/>
          <w:szCs w:val="24"/>
        </w:rPr>
        <w:t xml:space="preserve">VITyarthi E-Learning Platform</w:t>
      </w:r>
    </w:p>
    <w:p>
      <w:pPr>
        <w:spacing w:before="0" w:after="160"/>
        <w:jc w:val="center"/>
      </w:pPr>
      <w:r>
        <w:rPr>
          <w:rFonts w:ascii="Arial" w:cs="Arial" w:eastAsia="Arial" w:hAnsi="Arial"/>
          <w:b/>
          <w:bCs/>
          <w:color w:val="1F3864"/>
          <w:sz w:val="36"/>
          <w:szCs w:val="36"/>
        </w:rPr>
        <w:t xml:space="preserve">CSE0001 – Digital Literacy</w:t>
      </w:r>
    </w:p>
    <w:p>
      <w:pPr>
        <w:spacing w:before="0" w:after="400"/>
        <w:jc w:val="center"/>
      </w:pPr>
      <w:r>
        <w:rPr>
          <w:rFonts w:ascii="Arial" w:cs="Arial" w:eastAsia="Arial" w:hAnsi="Arial"/>
          <w:color w:val="2E5CA8"/>
          <w:sz w:val="32"/>
          <w:szCs w:val="32"/>
        </w:rPr>
        <w:t xml:space="preserve">Project Report</w:t>
      </w:r>
    </w:p>
    <w:p>
      <w:pPr>
        <w:spacing w:before="80" w:after="80"/>
      </w:pPr>
      <w:r>
        <w:t xml:space="preserve"/>
      </w:r>
    </w:p>
    <w:p>
      <w:pPr>
        <w:spacing w:before="80" w:after="8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BBBBBB" w:sz="1"/>
              <w:left w:val="single" w:color="BBBBBB" w:sz="1"/>
              <w:bottom w:val="single" w:color="BBBBBB" w:sz="1"/>
              <w:right w:val="single" w:color="BBBBBB" w:sz="1"/>
            </w:tcBorders>
            <w:shd w:fill="E8EFF7" w:val="clear"/>
            <w:tcMar>
              <w:top w:type="dxa" w:w="80"/>
              <w:left w:type="dxa" w:w="150"/>
              <w:bottom w:type="dxa" w:w="80"/>
              <w:right w:type="dxa" w:w="150"/>
            </w:tcMar>
          </w:tcPr>
          <w:p>
            <w:r>
              <w:rPr>
                <w:rFonts w:ascii="Arial" w:cs="Arial" w:eastAsia="Arial" w:hAnsi="Arial"/>
                <w:b/>
                <w:bCs/>
                <w:sz w:val="22"/>
                <w:szCs w:val="22"/>
              </w:rPr>
              <w:t xml:space="preserve">Name</w:t>
            </w:r>
          </w:p>
        </w:tc>
        <w:tc>
          <w:tcPr>
            <w:tcW w:type="dxa" w:w="6360"/>
            <w:tcBorders>
              <w:top w:val="single" w:color="BBBBBB" w:sz="1"/>
              <w:left w:val="single" w:color="BBBBBB" w:sz="1"/>
              <w:bottom w:val="single" w:color="BBBBBB" w:sz="1"/>
              <w:right w:val="single" w:color="BBBBBB" w:sz="1"/>
            </w:tcBorders>
            <w:tcMar>
              <w:top w:type="dxa" w:w="80"/>
              <w:left w:type="dxa" w:w="150"/>
              <w:bottom w:type="dxa" w:w="80"/>
              <w:right w:type="dxa" w:w="150"/>
            </w:tcMar>
          </w:tcPr>
          <w:p>
            <w:r>
              <w:rPr>
                <w:rFonts w:ascii="Arial" w:cs="Arial" w:eastAsia="Arial" w:hAnsi="Arial"/>
                <w:sz w:val="22"/>
                <w:szCs w:val="22"/>
              </w:rPr>
              <w:t xml:space="preserve">Kumar Karan Bohidar</w:t>
            </w:r>
          </w:p>
        </w:tc>
      </w:tr>
      <w:tr>
        <w:tc>
          <w:tcPr>
            <w:tcW w:type="dxa" w:w="3000"/>
            <w:tcBorders>
              <w:top w:val="single" w:color="BBBBBB" w:sz="1"/>
              <w:left w:val="single" w:color="BBBBBB" w:sz="1"/>
              <w:bottom w:val="single" w:color="BBBBBB" w:sz="1"/>
              <w:right w:val="single" w:color="BBBBBB" w:sz="1"/>
            </w:tcBorders>
            <w:shd w:fill="E8EFF7" w:val="clear"/>
            <w:tcMar>
              <w:top w:type="dxa" w:w="80"/>
              <w:left w:type="dxa" w:w="150"/>
              <w:bottom w:type="dxa" w:w="80"/>
              <w:right w:type="dxa" w:w="150"/>
            </w:tcMar>
          </w:tcPr>
          <w:p>
            <w:r>
              <w:rPr>
                <w:rFonts w:ascii="Arial" w:cs="Arial" w:eastAsia="Arial" w:hAnsi="Arial"/>
                <w:b/>
                <w:bCs/>
                <w:sz w:val="22"/>
                <w:szCs w:val="22"/>
              </w:rPr>
              <w:t xml:space="preserve">Registration No.</w:t>
            </w:r>
          </w:p>
        </w:tc>
        <w:tc>
          <w:tcPr>
            <w:tcW w:type="dxa" w:w="6360"/>
            <w:tcBorders>
              <w:top w:val="single" w:color="BBBBBB" w:sz="1"/>
              <w:left w:val="single" w:color="BBBBBB" w:sz="1"/>
              <w:bottom w:val="single" w:color="BBBBBB" w:sz="1"/>
              <w:right w:val="single" w:color="BBBBBB" w:sz="1"/>
            </w:tcBorders>
            <w:tcMar>
              <w:top w:type="dxa" w:w="80"/>
              <w:left w:type="dxa" w:w="150"/>
              <w:bottom w:type="dxa" w:w="80"/>
              <w:right w:type="dxa" w:w="150"/>
            </w:tcMar>
          </w:tcPr>
          <w:p>
            <w:r>
              <w:rPr>
                <w:rFonts w:ascii="Arial" w:cs="Arial" w:eastAsia="Arial" w:hAnsi="Arial"/>
                <w:sz w:val="22"/>
                <w:szCs w:val="22"/>
              </w:rPr>
              <w:t xml:space="preserve">25BAS10049</w:t>
            </w:r>
          </w:p>
        </w:tc>
      </w:tr>
      <w:tr>
        <w:tc>
          <w:tcPr>
            <w:tcW w:type="dxa" w:w="3000"/>
            <w:tcBorders>
              <w:top w:val="single" w:color="BBBBBB" w:sz="1"/>
              <w:left w:val="single" w:color="BBBBBB" w:sz="1"/>
              <w:bottom w:val="single" w:color="BBBBBB" w:sz="1"/>
              <w:right w:val="single" w:color="BBBBBB" w:sz="1"/>
            </w:tcBorders>
            <w:shd w:fill="E8EFF7" w:val="clear"/>
            <w:tcMar>
              <w:top w:type="dxa" w:w="80"/>
              <w:left w:type="dxa" w:w="150"/>
              <w:bottom w:type="dxa" w:w="80"/>
              <w:right w:type="dxa" w:w="150"/>
            </w:tcMar>
          </w:tcPr>
          <w:p>
            <w:r>
              <w:rPr>
                <w:rFonts w:ascii="Arial" w:cs="Arial" w:eastAsia="Arial" w:hAnsi="Arial"/>
                <w:b/>
                <w:bCs/>
                <w:sz w:val="22"/>
                <w:szCs w:val="22"/>
              </w:rPr>
              <w:t xml:space="preserve">Branch</w:t>
            </w:r>
          </w:p>
        </w:tc>
        <w:tc>
          <w:tcPr>
            <w:tcW w:type="dxa" w:w="6360"/>
            <w:tcBorders>
              <w:top w:val="single" w:color="BBBBBB" w:sz="1"/>
              <w:left w:val="single" w:color="BBBBBB" w:sz="1"/>
              <w:bottom w:val="single" w:color="BBBBBB" w:sz="1"/>
              <w:right w:val="single" w:color="BBBBBB" w:sz="1"/>
            </w:tcBorders>
            <w:tcMar>
              <w:top w:type="dxa" w:w="80"/>
              <w:left w:type="dxa" w:w="150"/>
              <w:bottom w:type="dxa" w:w="80"/>
              <w:right w:type="dxa" w:w="150"/>
            </w:tcMar>
          </w:tcPr>
          <w:p>
            <w:r>
              <w:rPr>
                <w:rFonts w:ascii="Arial" w:cs="Arial" w:eastAsia="Arial" w:hAnsi="Arial"/>
                <w:sz w:val="22"/>
                <w:szCs w:val="22"/>
              </w:rPr>
              <w:t xml:space="preserve">B.Tech – Aerospace Engineering</w:t>
            </w:r>
          </w:p>
        </w:tc>
      </w:tr>
      <w:tr>
        <w:tc>
          <w:tcPr>
            <w:tcW w:type="dxa" w:w="3000"/>
            <w:tcBorders>
              <w:top w:val="single" w:color="BBBBBB" w:sz="1"/>
              <w:left w:val="single" w:color="BBBBBB" w:sz="1"/>
              <w:bottom w:val="single" w:color="BBBBBB" w:sz="1"/>
              <w:right w:val="single" w:color="BBBBBB" w:sz="1"/>
            </w:tcBorders>
            <w:shd w:fill="E8EFF7" w:val="clear"/>
            <w:tcMar>
              <w:top w:type="dxa" w:w="80"/>
              <w:left w:type="dxa" w:w="150"/>
              <w:bottom w:type="dxa" w:w="80"/>
              <w:right w:type="dxa" w:w="150"/>
            </w:tcMar>
          </w:tcPr>
          <w:p>
            <w:r>
              <w:rPr>
                <w:rFonts w:ascii="Arial" w:cs="Arial" w:eastAsia="Arial" w:hAnsi="Arial"/>
                <w:b/>
                <w:bCs/>
                <w:sz w:val="22"/>
                <w:szCs w:val="22"/>
              </w:rPr>
              <w:t xml:space="preserve">Year</w:t>
            </w:r>
          </w:p>
        </w:tc>
        <w:tc>
          <w:tcPr>
            <w:tcW w:type="dxa" w:w="6360"/>
            <w:tcBorders>
              <w:top w:val="single" w:color="BBBBBB" w:sz="1"/>
              <w:left w:val="single" w:color="BBBBBB" w:sz="1"/>
              <w:bottom w:val="single" w:color="BBBBBB" w:sz="1"/>
              <w:right w:val="single" w:color="BBBBBB" w:sz="1"/>
            </w:tcBorders>
            <w:tcMar>
              <w:top w:type="dxa" w:w="80"/>
              <w:left w:type="dxa" w:w="150"/>
              <w:bottom w:type="dxa" w:w="80"/>
              <w:right w:type="dxa" w:w="150"/>
            </w:tcMar>
          </w:tcPr>
          <w:p>
            <w:r>
              <w:rPr>
                <w:rFonts w:ascii="Arial" w:cs="Arial" w:eastAsia="Arial" w:hAnsi="Arial"/>
                <w:sz w:val="22"/>
                <w:szCs w:val="22"/>
              </w:rPr>
              <w:t xml:space="preserve">First Year (2024–25)</w:t>
            </w:r>
          </w:p>
        </w:tc>
      </w:tr>
      <w:tr>
        <w:tc>
          <w:tcPr>
            <w:tcW w:type="dxa" w:w="3000"/>
            <w:tcBorders>
              <w:top w:val="single" w:color="BBBBBB" w:sz="1"/>
              <w:left w:val="single" w:color="BBBBBB" w:sz="1"/>
              <w:bottom w:val="single" w:color="BBBBBB" w:sz="1"/>
              <w:right w:val="single" w:color="BBBBBB" w:sz="1"/>
            </w:tcBorders>
            <w:shd w:fill="E8EFF7" w:val="clear"/>
            <w:tcMar>
              <w:top w:type="dxa" w:w="80"/>
              <w:left w:type="dxa" w:w="150"/>
              <w:bottom w:type="dxa" w:w="80"/>
              <w:right w:type="dxa" w:w="150"/>
            </w:tcMar>
          </w:tcPr>
          <w:p>
            <w:r>
              <w:rPr>
                <w:rFonts w:ascii="Arial" w:cs="Arial" w:eastAsia="Arial" w:hAnsi="Arial"/>
                <w:b/>
                <w:bCs/>
                <w:sz w:val="22"/>
                <w:szCs w:val="22"/>
              </w:rPr>
              <w:t xml:space="preserve">Course Code</w:t>
            </w:r>
          </w:p>
        </w:tc>
        <w:tc>
          <w:tcPr>
            <w:tcW w:type="dxa" w:w="6360"/>
            <w:tcBorders>
              <w:top w:val="single" w:color="BBBBBB" w:sz="1"/>
              <w:left w:val="single" w:color="BBBBBB" w:sz="1"/>
              <w:bottom w:val="single" w:color="BBBBBB" w:sz="1"/>
              <w:right w:val="single" w:color="BBBBBB" w:sz="1"/>
            </w:tcBorders>
            <w:tcMar>
              <w:top w:type="dxa" w:w="80"/>
              <w:left w:type="dxa" w:w="150"/>
              <w:bottom w:type="dxa" w:w="80"/>
              <w:right w:type="dxa" w:w="150"/>
            </w:tcMar>
          </w:tcPr>
          <w:p>
            <w:r>
              <w:rPr>
                <w:rFonts w:ascii="Arial" w:cs="Arial" w:eastAsia="Arial" w:hAnsi="Arial"/>
                <w:sz w:val="22"/>
                <w:szCs w:val="22"/>
              </w:rPr>
              <w:t xml:space="preserve">CSE0001 – Digital Literacy</w:t>
            </w:r>
          </w:p>
        </w:tc>
      </w:tr>
      <w:tr>
        <w:tc>
          <w:tcPr>
            <w:tcW w:type="dxa" w:w="3000"/>
            <w:tcBorders>
              <w:top w:val="single" w:color="BBBBBB" w:sz="1"/>
              <w:left w:val="single" w:color="BBBBBB" w:sz="1"/>
              <w:bottom w:val="single" w:color="BBBBBB" w:sz="1"/>
              <w:right w:val="single" w:color="BBBBBB" w:sz="1"/>
            </w:tcBorders>
            <w:shd w:fill="E8EFF7" w:val="clear"/>
            <w:tcMar>
              <w:top w:type="dxa" w:w="80"/>
              <w:left w:type="dxa" w:w="150"/>
              <w:bottom w:type="dxa" w:w="80"/>
              <w:right w:type="dxa" w:w="150"/>
            </w:tcMar>
          </w:tcPr>
          <w:p>
            <w:r>
              <w:rPr>
                <w:rFonts w:ascii="Arial" w:cs="Arial" w:eastAsia="Arial" w:hAnsi="Arial"/>
                <w:b/>
                <w:bCs/>
                <w:sz w:val="22"/>
                <w:szCs w:val="22"/>
              </w:rPr>
              <w:t xml:space="preserve">Submission Date</w:t>
            </w:r>
          </w:p>
        </w:tc>
        <w:tc>
          <w:tcPr>
            <w:tcW w:type="dxa" w:w="6360"/>
            <w:tcBorders>
              <w:top w:val="single" w:color="BBBBBB" w:sz="1"/>
              <w:left w:val="single" w:color="BBBBBB" w:sz="1"/>
              <w:bottom w:val="single" w:color="BBBBBB" w:sz="1"/>
              <w:right w:val="single" w:color="BBBBBB" w:sz="1"/>
            </w:tcBorders>
            <w:tcMar>
              <w:top w:type="dxa" w:w="80"/>
              <w:left w:type="dxa" w:w="150"/>
              <w:bottom w:type="dxa" w:w="80"/>
              <w:right w:type="dxa" w:w="150"/>
            </w:tcMar>
          </w:tcPr>
          <w:p>
            <w:r>
              <w:rPr>
                <w:rFonts w:ascii="Arial" w:cs="Arial" w:eastAsia="Arial" w:hAnsi="Arial"/>
                <w:sz w:val="22"/>
                <w:szCs w:val="22"/>
              </w:rPr>
              <w:t xml:space="preserve">29 March 2026</w:t>
            </w:r>
          </w:p>
        </w:tc>
      </w:tr>
    </w:tbl>
    <w:p>
      <w:pPr>
        <w:spacing w:before="80" w:after="80"/>
      </w:pPr>
      <w:r>
        <w:t xml:space="preserve"/>
      </w:r>
    </w:p>
    <w:p>
      <w:pPr>
        <w:spacing w:before="80" w:after="80"/>
      </w:pPr>
      <w:r>
        <w:t xml:space="preserve"/>
      </w:r>
    </w:p>
    <w:p>
      <w:pPr>
        <w:spacing w:before="200" w:after="0"/>
        <w:jc w:val="center"/>
      </w:pPr>
      <w:r>
        <w:rPr>
          <w:rFonts w:ascii="Arial" w:cs="Arial" w:eastAsia="Arial" w:hAnsi="Arial"/>
          <w:color w:val="666666"/>
          <w:sz w:val="22"/>
          <w:szCs w:val="22"/>
        </w:rPr>
        <w:t xml:space="preserve">VIT Bhopal University, Sehore, Madhya Pradesh</w:t>
      </w:r>
    </w:p>
    <w:p>
      <w:r>
        <w:br w:type="page"/>
      </w:r>
    </w:p>
    <w:p>
      <w:pPr>
        <w:pStyle w:val="Heading1"/>
        <w:spacing w:before="320" w:after="160"/>
      </w:pPr>
      <w:r>
        <w:rPr>
          <w:rFonts w:ascii="Arial" w:cs="Arial" w:eastAsia="Arial" w:hAnsi="Arial"/>
          <w:b/>
          <w:bCs/>
          <w:sz w:val="32"/>
          <w:szCs w:val="32"/>
        </w:rPr>
        <w:t xml:space="preserve">Introduction</w:t>
      </w:r>
    </w:p>
    <w:p>
      <w:pPr>
        <w:spacing w:before="80" w:after="80" w:line="360"/>
        <w:jc w:val="both"/>
      </w:pPr>
      <w:r>
        <w:rPr>
          <w:rFonts w:ascii="Arial" w:cs="Arial" w:eastAsia="Arial" w:hAnsi="Arial"/>
          <w:sz w:val="24"/>
          <w:szCs w:val="24"/>
        </w:rPr>
        <w:t xml:space="preserve">This report documents my work on the CSE0001 Digital Literacy project, completed as part of the first-year B.Tech curriculum at VIT Bhopal University. The project places me in the role of a Student Digital Ambassador, tasked with building a Digital Literacy Portfolio that demonstrates my ability to navigate, communicate, and work safely in the digital world.</w:t>
      </w:r>
    </w:p>
    <w:p>
      <w:pPr>
        <w:spacing w:before="80" w:after="80"/>
      </w:pPr>
      <w:r>
        <w:t xml:space="preserve"/>
      </w:r>
    </w:p>
    <w:p>
      <w:pPr>
        <w:spacing w:before="80" w:after="80" w:line="360"/>
        <w:jc w:val="both"/>
      </w:pPr>
      <w:r>
        <w:rPr>
          <w:rFonts w:ascii="Arial" w:cs="Arial" w:eastAsia="Arial" w:hAnsi="Arial"/>
          <w:sz w:val="24"/>
          <w:szCs w:val="24"/>
        </w:rPr>
        <w:t xml:space="preserve">As a student of Aerospace Engineering with a keen interest in avionics, CAD/CAE tools, and aerospace research and development, I found this project particularly relevant. Digital literacy is not just a general skill — it is foundational to engineering practice. From collaborating on simulation files using cloud platforms, to maintaining a professional profile that reflects my technical interests, every module in this project connects directly to how engineers learn and grow in today’s digital environment.</w:t>
      </w:r>
    </w:p>
    <w:p>
      <w:pPr>
        <w:spacing w:before="80" w:after="80"/>
      </w:pPr>
      <w:r>
        <w:t xml:space="preserve"/>
      </w:r>
    </w:p>
    <w:p>
      <w:pPr>
        <w:spacing w:before="80" w:after="80" w:line="360"/>
        <w:jc w:val="both"/>
      </w:pPr>
      <w:r>
        <w:rPr>
          <w:rFonts w:ascii="Arial" w:cs="Arial" w:eastAsia="Arial" w:hAnsi="Arial"/>
          <w:sz w:val="24"/>
          <w:szCs w:val="24"/>
        </w:rPr>
        <w:t xml:space="preserve">The project is divided into five tasks, each mapping to a module of the course. Together, they cover digital awareness, professional profiling, coding platforms, email communication, and cybercrime prevention. All outputs are hosted in a public GitHub repository as a permanent digital portfolio.</w:t>
      </w:r>
    </w:p>
    <w:p>
      <w:r>
        <w:br w:type="page"/>
      </w:r>
    </w:p>
    <w:p>
      <w:pPr>
        <w:pStyle w:val="Heading1"/>
        <w:spacing w:before="320" w:after="160"/>
      </w:pPr>
      <w:r>
        <w:rPr>
          <w:rFonts w:ascii="Arial" w:cs="Arial" w:eastAsia="Arial" w:hAnsi="Arial"/>
          <w:b/>
          <w:bCs/>
          <w:sz w:val="32"/>
          <w:szCs w:val="32"/>
        </w:rPr>
        <w:t xml:space="preserve">Task 1 – Digital Literacy Awareness Infographic</w:t>
      </w:r>
    </w:p>
    <w:p>
      <w:pPr>
        <w:pStyle w:val="Heading2"/>
        <w:spacing w:before="240" w:after="120"/>
      </w:pPr>
      <w:r>
        <w:rPr>
          <w:rFonts w:ascii="Arial" w:cs="Arial" w:eastAsia="Arial" w:hAnsi="Arial"/>
          <w:b/>
          <w:bCs/>
          <w:sz w:val="26"/>
          <w:szCs w:val="26"/>
        </w:rPr>
        <w:t xml:space="preserve">Tool Used</w:t>
      </w:r>
    </w:p>
    <w:p>
      <w:pPr>
        <w:spacing w:before="80" w:after="80" w:line="360"/>
        <w:jc w:val="both"/>
      </w:pPr>
      <w:r>
        <w:rPr>
          <w:rFonts w:ascii="Arial" w:cs="Arial" w:eastAsia="Arial" w:hAnsi="Arial"/>
          <w:sz w:val="24"/>
          <w:szCs w:val="24"/>
        </w:rPr>
        <w:t xml:space="preserve">I used Canva (canva.com) to create this infographic series. Canva is a browser-based graphic design platform that requires no prior design experience and offers a wide range of templates, icons, and layout grids suitable for creating educational visual content. It is free for students and works entirely in the browser.</w:t>
      </w:r>
    </w:p>
    <w:p>
      <w:pPr>
        <w:pStyle w:val="Heading2"/>
        <w:spacing w:before="240" w:after="120"/>
      </w:pPr>
      <w:r>
        <w:rPr>
          <w:rFonts w:ascii="Arial" w:cs="Arial" w:eastAsia="Arial" w:hAnsi="Arial"/>
          <w:b/>
          <w:bCs/>
          <w:sz w:val="26"/>
          <w:szCs w:val="26"/>
        </w:rPr>
        <w:t xml:space="preserve">What the Design Shows</w:t>
      </w:r>
    </w:p>
    <w:p>
      <w:pPr>
        <w:spacing w:before="80" w:after="80" w:line="360"/>
        <w:jc w:val="both"/>
      </w:pPr>
      <w:r>
        <w:rPr>
          <w:rFonts w:ascii="Arial" w:cs="Arial" w:eastAsia="Arial" w:hAnsi="Arial"/>
          <w:sz w:val="24"/>
          <w:szCs w:val="24"/>
        </w:rPr>
        <w:t xml:space="preserve">The infographic is presented as a four-slide visual series, each dedicated to one key aspect of digital literacy for engineering students. Together, the slides cover four of the five suggested topics:</w:t>
      </w:r>
    </w:p>
    <w:p>
      <w:pPr>
        <w:pStyle w:val="ListParagraph"/>
        <w:numPr>
          <w:ilvl w:val="0"/>
          <w:numId w:val="2"/>
        </w:numPr>
        <w:spacing w:before="60" w:after="60" w:line="320"/>
      </w:pPr>
      <w:r>
        <w:rPr>
          <w:rFonts w:ascii="Arial" w:cs="Arial" w:eastAsia="Arial" w:hAnsi="Arial"/>
          <w:sz w:val="24"/>
          <w:szCs w:val="24"/>
        </w:rPr>
        <w:t xml:space="preserve">Slide 1 – Digital Literacy Definition: Defines digital literacy using a four-petal diagram centred on a laptop, with the four core competencies labelled as Find, Evaluate, Create, and Communicate.</w:t>
      </w:r>
    </w:p>
    <w:p>
      <w:pPr>
        <w:pStyle w:val="ListParagraph"/>
        <w:numPr>
          <w:ilvl w:val="0"/>
          <w:numId w:val="2"/>
        </w:numPr>
        <w:spacing w:before="60" w:after="60" w:line="320"/>
      </w:pPr>
      <w:r>
        <w:rPr>
          <w:rFonts w:ascii="Arial" w:cs="Arial" w:eastAsia="Arial" w:hAnsi="Arial"/>
          <w:sz w:val="24"/>
          <w:szCs w:val="24"/>
        </w:rPr>
        <w:t xml:space="preserve">Slide 2 – Useful Digital Tools for Engineering Students: A two-column layout featuring Google Workspace (for collaboration), GitHub (for version control), MATLAB (for numerical analysis and simulation), and Canva (for visual communication). Each tool includes a brief description of its relevance to engineering work.</w:t>
      </w:r>
    </w:p>
    <w:p>
      <w:pPr>
        <w:pStyle w:val="ListParagraph"/>
        <w:numPr>
          <w:ilvl w:val="0"/>
          <w:numId w:val="2"/>
        </w:numPr>
        <w:spacing w:before="60" w:after="60" w:line="320"/>
      </w:pPr>
      <w:r>
        <w:rPr>
          <w:rFonts w:ascii="Arial" w:cs="Arial" w:eastAsia="Arial" w:hAnsi="Arial"/>
          <w:sz w:val="24"/>
          <w:szCs w:val="24"/>
        </w:rPr>
        <w:t xml:space="preserve">Slide 3 – Safe Internet Habits: Six habits listed on a dark teal background: using strong passwords, recognising phishing, not sharing OTPs, never sharing your network, using a secure Wi-Fi network, and keeping software updated.</w:t>
      </w:r>
    </w:p>
    <w:p>
      <w:pPr>
        <w:pStyle w:val="ListParagraph"/>
        <w:numPr>
          <w:ilvl w:val="0"/>
          <w:numId w:val="2"/>
        </w:numPr>
        <w:spacing w:before="60" w:after="60" w:line="320"/>
      </w:pPr>
      <w:r>
        <w:rPr>
          <w:rFonts w:ascii="Arial" w:cs="Arial" w:eastAsia="Arial" w:hAnsi="Arial"/>
          <w:sz w:val="24"/>
          <w:szCs w:val="24"/>
        </w:rPr>
        <w:t xml:space="preserve">Slide 4 – Professional Online Presence: A two-column layout covering LinkedIn tips (banner, achievements section, skills, and summary) and GitHub tips (profile repositories, detailed READMEs, and maintaining commit history).</w:t>
      </w:r>
    </w:p>
    <w:p>
      <w:pPr>
        <w:spacing w:before="80" w:after="80"/>
      </w:pPr>
      <w:r>
        <w:t xml:space="preserve"/>
      </w:r>
    </w:p>
    <w:p>
      <w:pPr>
        <w:spacing w:before="80" w:after="80" w:line="360"/>
        <w:jc w:val="both"/>
      </w:pPr>
      <w:r>
        <w:rPr>
          <w:rFonts w:ascii="Arial" w:cs="Arial" w:eastAsia="Arial" w:hAnsi="Arial"/>
          <w:sz w:val="24"/>
          <w:szCs w:val="24"/>
        </w:rPr>
        <w:t xml:space="preserve">Each slide uses a distinct colour theme — white, blue, teal, and steel-blue respectively — allowing viewers to navigate between topics easily. The two-column grid layout used across most slides mirrors the structured, parallel presentation style common in engineering documentation.</w:t>
      </w:r>
    </w:p>
    <w:p>
      <w:pPr>
        <w:pStyle w:val="Heading2"/>
        <w:spacing w:before="240" w:after="120"/>
      </w:pPr>
      <w:r>
        <w:rPr>
          <w:rFonts w:ascii="Arial" w:cs="Arial" w:eastAsia="Arial" w:hAnsi="Arial"/>
          <w:b/>
          <w:bCs/>
          <w:sz w:val="26"/>
          <w:szCs w:val="26"/>
        </w:rPr>
        <w:t xml:space="preserve">Reflection</w:t>
      </w:r>
    </w:p>
    <w:p>
      <w:pPr>
        <w:spacing w:before="80" w:after="80" w:line="360"/>
        <w:jc w:val="both"/>
      </w:pPr>
      <w:r>
        <w:rPr>
          <w:rFonts w:ascii="Arial" w:cs="Arial" w:eastAsia="Arial" w:hAnsi="Arial"/>
          <w:sz w:val="24"/>
          <w:szCs w:val="24"/>
        </w:rPr>
        <w:t xml:space="preserve">The most interesting part of this task was learning how to communicate technical information visually. I initially tried to fit all four topics onto a single slide, which made it cluttered and hard to read. Breaking the content into four focused slides was a better decision, and Canva’s alignment and grid tools made the restructuring straightforward. The most difficult part was writing concise descriptions for each tool and tip — being precise and brief in technical communication is a skill I will need throughout my engineering career, and this task gave me a useful early exercise in it.</w:t>
      </w:r>
    </w:p>
    <w:p>
      <w:r>
        <w:br w:type="page"/>
      </w:r>
    </w:p>
    <w:p>
      <w:pPr>
        <w:pStyle w:val="Heading1"/>
        <w:spacing w:before="320" w:after="160"/>
      </w:pPr>
      <w:r>
        <w:rPr>
          <w:rFonts w:ascii="Arial" w:cs="Arial" w:eastAsia="Arial" w:hAnsi="Arial"/>
          <w:b/>
          <w:bCs/>
          <w:sz w:val="32"/>
          <w:szCs w:val="32"/>
        </w:rPr>
        <w:t xml:space="preserve">Task 2 – Student Digital Portfolio</w:t>
      </w:r>
    </w:p>
    <w:p>
      <w:pPr>
        <w:pStyle w:val="Heading2"/>
        <w:spacing w:before="240" w:after="120"/>
      </w:pPr>
      <w:r>
        <w:rPr>
          <w:rFonts w:ascii="Arial" w:cs="Arial" w:eastAsia="Arial" w:hAnsi="Arial"/>
          <w:b/>
          <w:bCs/>
          <w:sz w:val="26"/>
          <w:szCs w:val="26"/>
        </w:rPr>
        <w:t xml:space="preserve">Platforms Set Up</w:t>
      </w:r>
    </w:p>
    <w:p>
      <w:pPr>
        <w:spacing w:before="80" w:after="80" w:line="360"/>
        <w:jc w:val="both"/>
      </w:pPr>
      <w:r>
        <w:rPr>
          <w:rFonts w:ascii="Arial" w:cs="Arial" w:eastAsia="Arial" w:hAnsi="Arial"/>
          <w:sz w:val="24"/>
          <w:szCs w:val="24"/>
        </w:rPr>
        <w:t xml:space="preserve">For this task, I created and configured accounts on three platforms: GitHub, LinkedIn, and Kaggle.</w:t>
      </w:r>
    </w:p>
    <w:p>
      <w:pPr>
        <w:pStyle w:val="ListParagraph"/>
        <w:numPr>
          <w:ilvl w:val="0"/>
          <w:numId w:val="2"/>
        </w:numPr>
        <w:spacing w:before="60" w:after="60" w:line="320"/>
      </w:pPr>
      <w:r>
        <w:rPr>
          <w:rFonts w:ascii="Arial" w:cs="Arial" w:eastAsia="Arial" w:hAnsi="Arial"/>
          <w:sz w:val="24"/>
          <w:szCs w:val="24"/>
        </w:rPr>
        <w:t xml:space="preserve">GitHub (github.com) — GitHub is the world’s largest platform for version control and collaborative software development. For engineering students, it is essential for storing code, sharing project files, and demonstrating technical skills to future employers and research supervisors.</w:t>
      </w:r>
    </w:p>
    <w:p>
      <w:pPr>
        <w:pStyle w:val="ListParagraph"/>
        <w:numPr>
          <w:ilvl w:val="0"/>
          <w:numId w:val="2"/>
        </w:numPr>
        <w:spacing w:before="60" w:after="60" w:line="320"/>
      </w:pPr>
      <w:r>
        <w:rPr>
          <w:rFonts w:ascii="Arial" w:cs="Arial" w:eastAsia="Arial" w:hAnsi="Arial"/>
          <w:sz w:val="24"/>
          <w:szCs w:val="24"/>
        </w:rPr>
        <w:t xml:space="preserve">LinkedIn (linkedin.com) — LinkedIn is the professional networking platform used by employers, internship coordinators, and researchers globally. It is the primary platform for showcasing academic qualifications, projects, and skills in a professional context.</w:t>
      </w:r>
    </w:p>
    <w:p>
      <w:pPr>
        <w:pStyle w:val="ListParagraph"/>
        <w:numPr>
          <w:ilvl w:val="0"/>
          <w:numId w:val="2"/>
        </w:numPr>
        <w:spacing w:before="60" w:after="60" w:line="320"/>
      </w:pPr>
      <w:r>
        <w:rPr>
          <w:rFonts w:ascii="Arial" w:cs="Arial" w:eastAsia="Arial" w:hAnsi="Arial"/>
          <w:sz w:val="24"/>
          <w:szCs w:val="24"/>
        </w:rPr>
        <w:t xml:space="preserve">Kaggle (kaggle.com) — Kaggle is a data science and machine learning platform that hosts datasets, competitions, and learning resources. As an aerospace engineering student, I plan to use it to explore datasets related to flight performance, satellite telemetry, and materials analysis.</w:t>
      </w:r>
    </w:p>
    <w:p>
      <w:pPr>
        <w:pStyle w:val="Heading2"/>
        <w:spacing w:before="240" w:after="120"/>
      </w:pPr>
      <w:r>
        <w:rPr>
          <w:rFonts w:ascii="Arial" w:cs="Arial" w:eastAsia="Arial" w:hAnsi="Arial"/>
          <w:b/>
          <w:bCs/>
          <w:sz w:val="26"/>
          <w:szCs w:val="26"/>
        </w:rPr>
        <w:t xml:space="preserve">What Each Platform Is Used For</w:t>
      </w:r>
    </w:p>
    <w:p>
      <w:pPr>
        <w:spacing w:before="80" w:after="80" w:line="360"/>
        <w:jc w:val="both"/>
      </w:pPr>
      <w:r>
        <w:rPr>
          <w:rFonts w:ascii="Arial" w:cs="Arial" w:eastAsia="Arial" w:hAnsi="Arial"/>
          <w:sz w:val="24"/>
          <w:szCs w:val="24"/>
        </w:rPr>
        <w:t xml:space="preserve">GitHub serves as my technical portfolio — I have created a profile README that includes my name, branch, year, and a brief statement about my learning goals. LinkedIn functions as my professional identity page, where I have filled in my education section with my current degree, institution, and expected graduation year. Kaggle serves as an exploratory space where I can access datasets, follow aerospace and engineering-related notebooks, and eventually participate in competitions.</w:t>
      </w:r>
    </w:p>
    <w:p>
      <w:pPr>
        <w:pStyle w:val="Heading2"/>
        <w:spacing w:before="240" w:after="120"/>
      </w:pPr>
      <w:r>
        <w:rPr>
          <w:rFonts w:ascii="Arial" w:cs="Arial" w:eastAsia="Arial" w:hAnsi="Arial"/>
          <w:b/>
          <w:bCs/>
          <w:sz w:val="26"/>
          <w:szCs w:val="26"/>
        </w:rPr>
        <w:t xml:space="preserve">Future Plans</w:t>
      </w:r>
    </w:p>
    <w:p>
      <w:pPr>
        <w:spacing w:before="80" w:after="80" w:line="360"/>
        <w:jc w:val="both"/>
      </w:pPr>
      <w:r>
        <w:rPr>
          <w:rFonts w:ascii="Arial" w:cs="Arial" w:eastAsia="Arial" w:hAnsi="Arial"/>
          <w:sz w:val="24"/>
          <w:szCs w:val="24"/>
        </w:rPr>
        <w:t xml:space="preserve">Over the next four years, I plan to use GitHub to host all my major academic projects — starting with simulation scripts and progressing to more complex avionics or CAD-related tools. I will update my LinkedIn profile each semester with new skills, certifications, and project experiences, so that by the time I begin applying for internships and placements, it reflects a complete and compelling professional record. I intend to use Kaggle to complement my coursework in data analysis and eventually explore aerospace datasets for independent research projects.</w:t>
      </w:r>
    </w:p>
    <w:p>
      <w:r>
        <w:br w:type="page"/>
      </w:r>
    </w:p>
    <w:p>
      <w:pPr>
        <w:pStyle w:val="Heading1"/>
        <w:spacing w:before="320" w:after="160"/>
      </w:pPr>
      <w:r>
        <w:rPr>
          <w:rFonts w:ascii="Arial" w:cs="Arial" w:eastAsia="Arial" w:hAnsi="Arial"/>
          <w:b/>
          <w:bCs/>
          <w:sz w:val="32"/>
          <w:szCs w:val="32"/>
        </w:rPr>
        <w:t xml:space="preserve">Task 3 – Coding and Collaboration Platforms</w:t>
      </w:r>
    </w:p>
    <w:p>
      <w:pPr>
        <w:pStyle w:val="Heading2"/>
        <w:spacing w:before="240" w:after="120"/>
      </w:pPr>
      <w:r>
        <w:rPr>
          <w:rFonts w:ascii="Arial" w:cs="Arial" w:eastAsia="Arial" w:hAnsi="Arial"/>
          <w:b/>
          <w:bCs/>
          <w:sz w:val="26"/>
          <w:szCs w:val="26"/>
        </w:rPr>
        <w:t xml:space="preserve">Part A – Coding Practice: CodeChef</w:t>
      </w:r>
    </w:p>
    <w:p>
      <w:pPr>
        <w:spacing w:before="80" w:after="80" w:line="360"/>
        <w:jc w:val="both"/>
      </w:pPr>
      <w:r>
        <w:rPr>
          <w:rFonts w:ascii="Arial" w:cs="Arial" w:eastAsia="Arial" w:hAnsi="Arial"/>
          <w:sz w:val="24"/>
          <w:szCs w:val="24"/>
        </w:rPr>
        <w:t xml:space="preserve">I chose CodeChef (codechef.com) as my coding practice platform. CodeChef is an Indian competitive programming platform widely used by engineering students and professionals across the country. It hosts contests, beginner-level practice problems, and learning paths in multiple programming languages.</w:t>
      </w:r>
    </w:p>
    <w:p>
      <w:pPr>
        <w:spacing w:before="80" w:after="80"/>
      </w:pPr>
      <w:r>
        <w:t xml:space="preserve"/>
      </w:r>
    </w:p>
    <w:p>
      <w:pPr>
        <w:spacing w:before="80" w:after="80" w:line="360"/>
        <w:jc w:val="both"/>
      </w:pPr>
      <w:r>
        <w:rPr>
          <w:rFonts w:ascii="Arial" w:cs="Arial" w:eastAsia="Arial" w:hAnsi="Arial"/>
          <w:sz w:val="24"/>
          <w:szCs w:val="24"/>
        </w:rPr>
        <w:t xml:space="preserve">I completed a beginner-level challenge in the ‘Learn to Code’ section, specifically a basic input-output problem in C — one of the first languages taught in most engineering programmes. The problem required reading two integers and printing their sum, which helped me familiarise myself with the CodeChef submission environment, understand how online judges work, and verify my output against automated test cases. A screenshot of my completed submission is included in the task-3-platforms/ folder.</w:t>
      </w:r>
    </w:p>
    <w:p>
      <w:pPr>
        <w:pStyle w:val="Heading2"/>
        <w:spacing w:before="240" w:after="120"/>
      </w:pPr>
      <w:r>
        <w:rPr>
          <w:rFonts w:ascii="Arial" w:cs="Arial" w:eastAsia="Arial" w:hAnsi="Arial"/>
          <w:b/>
          <w:bCs/>
          <w:sz w:val="26"/>
          <w:szCs w:val="26"/>
        </w:rPr>
        <w:t xml:space="preserve">Part B – Google Workspace: Digital Literacy Quiz</w:t>
      </w:r>
    </w:p>
    <w:p>
      <w:pPr>
        <w:spacing w:before="80" w:after="80" w:line="360"/>
        <w:jc w:val="both"/>
      </w:pPr>
      <w:r>
        <w:rPr>
          <w:rFonts w:ascii="Arial" w:cs="Arial" w:eastAsia="Arial" w:hAnsi="Arial"/>
          <w:sz w:val="24"/>
          <w:szCs w:val="24"/>
        </w:rPr>
        <w:t xml:space="preserve">I built a 5-question Google Form titled “Digital Literacy Awareness Quiz” using Google Forms (forms.google.com). The form is linked to a Google Sheet that captures responses automatically. The five questions are:</w:t>
      </w:r>
    </w:p>
    <w:p>
      <w:pPr>
        <w:pStyle w:val="ListParagraph"/>
        <w:numPr>
          <w:ilvl w:val="0"/>
          <w:numId w:val="2"/>
        </w:numPr>
        <w:spacing w:before="60" w:after="60" w:line="320"/>
      </w:pPr>
      <w:r>
        <w:rPr>
          <w:rFonts w:ascii="Arial" w:cs="Arial" w:eastAsia="Arial" w:hAnsi="Arial"/>
          <w:sz w:val="24"/>
          <w:szCs w:val="24"/>
        </w:rPr>
        <w:t xml:space="preserve">(Multiple choice) What does UPI stand for? — Options: Unified Payments Interface / Universal Payment ID / Unified Personal Information / United Payment Index</w:t>
      </w:r>
    </w:p>
    <w:p>
      <w:pPr>
        <w:pStyle w:val="ListParagraph"/>
        <w:numPr>
          <w:ilvl w:val="0"/>
          <w:numId w:val="2"/>
        </w:numPr>
        <w:spacing w:before="60" w:after="60" w:line="320"/>
      </w:pPr>
      <w:r>
        <w:rPr>
          <w:rFonts w:ascii="Arial" w:cs="Arial" w:eastAsia="Arial" w:hAnsi="Arial"/>
          <w:sz w:val="24"/>
          <w:szCs w:val="24"/>
        </w:rPr>
        <w:t xml:space="preserve">(Multiple choice) Which of the following is an example of phishing? — Options: Receiving an OTP you requested / An email asking you to ‘verify’ your bank details by clicking a link / Installing a software update from the official website / Creating a strong password</w:t>
      </w:r>
    </w:p>
    <w:p>
      <w:pPr>
        <w:pStyle w:val="ListParagraph"/>
        <w:numPr>
          <w:ilvl w:val="0"/>
          <w:numId w:val="2"/>
        </w:numPr>
        <w:spacing w:before="60" w:after="60" w:line="320"/>
      </w:pPr>
      <w:r>
        <w:rPr>
          <w:rFonts w:ascii="Arial" w:cs="Arial" w:eastAsia="Arial" w:hAnsi="Arial"/>
          <w:sz w:val="24"/>
          <w:szCs w:val="24"/>
        </w:rPr>
        <w:t xml:space="preserve">(Short answer) Name two platforms you would use to build a professional digital portfolio as an engineering student.</w:t>
      </w:r>
    </w:p>
    <w:p>
      <w:pPr>
        <w:pStyle w:val="ListParagraph"/>
        <w:numPr>
          <w:ilvl w:val="0"/>
          <w:numId w:val="2"/>
        </w:numPr>
        <w:spacing w:before="60" w:after="60" w:line="320"/>
      </w:pPr>
      <w:r>
        <w:rPr>
          <w:rFonts w:ascii="Arial" w:cs="Arial" w:eastAsia="Arial" w:hAnsi="Arial"/>
          <w:sz w:val="24"/>
          <w:szCs w:val="24"/>
        </w:rPr>
        <w:t xml:space="preserve">(Multiple choice) What should you do if someone calls claiming to be from your bank and asks for your ATM PIN? — Options: Share it — they are from the bank / Share only the last four digits / Hang up and call your bank’s official number / Share it after confirming their employee ID</w:t>
      </w:r>
    </w:p>
    <w:p>
      <w:pPr>
        <w:pStyle w:val="ListParagraph"/>
        <w:numPr>
          <w:ilvl w:val="0"/>
          <w:numId w:val="2"/>
        </w:numPr>
        <w:spacing w:before="60" w:after="60" w:line="320"/>
      </w:pPr>
      <w:r>
        <w:rPr>
          <w:rFonts w:ascii="Arial" w:cs="Arial" w:eastAsia="Arial" w:hAnsi="Arial"/>
          <w:sz w:val="24"/>
          <w:szCs w:val="24"/>
        </w:rPr>
        <w:t xml:space="preserve">(Short answer) In your own words, why is digital literacy important for engineering students?</w:t>
      </w:r>
    </w:p>
    <w:p>
      <w:pPr>
        <w:pStyle w:val="Heading2"/>
        <w:spacing w:before="240" w:after="120"/>
      </w:pPr>
      <w:r>
        <w:rPr>
          <w:rFonts w:ascii="Arial" w:cs="Arial" w:eastAsia="Arial" w:hAnsi="Arial"/>
          <w:b/>
          <w:bCs/>
          <w:sz w:val="26"/>
          <w:szCs w:val="26"/>
        </w:rPr>
        <w:t xml:space="preserve">Reflection</w:t>
      </w:r>
    </w:p>
    <w:p>
      <w:pPr>
        <w:spacing w:before="80" w:after="80" w:line="360"/>
        <w:jc w:val="both"/>
      </w:pPr>
      <w:r>
        <w:rPr>
          <w:rFonts w:ascii="Arial" w:cs="Arial" w:eastAsia="Arial" w:hAnsi="Arial"/>
          <w:sz w:val="24"/>
          <w:szCs w:val="24"/>
        </w:rPr>
        <w:t xml:space="preserve">This task was one of the most practically useful in the project. Using CodeChef helped me understand how structured platforms make programming practice accessible, and I can see myself using it regularly to improve my problem-solving skills alongside my engineering coursework. Building the Google Form reinforced the importance of designing clear, unambiguous questions — a skill that directly applies to survey design and data collection in research and development contexts. I also appreciated how Google Sheets automatically captured and organised responses, which demonstrated the power of integrated cloud tools for real-time collaboration.</w:t>
      </w:r>
    </w:p>
    <w:p>
      <w:r>
        <w:br w:type="page"/>
      </w:r>
    </w:p>
    <w:p>
      <w:pPr>
        <w:pStyle w:val="Heading1"/>
        <w:spacing w:before="320" w:after="160"/>
      </w:pPr>
      <w:r>
        <w:rPr>
          <w:rFonts w:ascii="Arial" w:cs="Arial" w:eastAsia="Arial" w:hAnsi="Arial"/>
          <w:b/>
          <w:bCs/>
          <w:sz w:val="32"/>
          <w:szCs w:val="32"/>
        </w:rPr>
        <w:t xml:space="preserve">Task 4 – Professional Email and Etiquette</w:t>
      </w:r>
    </w:p>
    <w:p>
      <w:pPr>
        <w:pStyle w:val="Heading2"/>
        <w:spacing w:before="240" w:after="120"/>
      </w:pPr>
      <w:r>
        <w:rPr>
          <w:rFonts w:ascii="Arial" w:cs="Arial" w:eastAsia="Arial" w:hAnsi="Arial"/>
          <w:b/>
          <w:bCs/>
          <w:sz w:val="26"/>
          <w:szCs w:val="26"/>
        </w:rPr>
        <w:t xml:space="preserve">Communication Scenario</w:t>
      </w:r>
    </w:p>
    <w:p>
      <w:pPr>
        <w:spacing w:before="80" w:after="80" w:line="360"/>
        <w:jc w:val="both"/>
      </w:pPr>
      <w:r>
        <w:rPr>
          <w:rFonts w:ascii="Arial" w:cs="Arial" w:eastAsia="Arial" w:hAnsi="Arial"/>
          <w:sz w:val="24"/>
          <w:szCs w:val="24"/>
        </w:rPr>
        <w:t xml:space="preserve">Poor digital communication has caused serious real-world consequences in many professional and academic contexts. One well-documented category involves ambiguous or emotionally charged messages sent on public platforms. In 2013, a technology professional in the United States was publicly fired after a photograph of a private conversation at a developer conference was posted on Twitter, escalating into a large-scale public controversy — affecting not just the individual who posted it, but also the person they were commenting on. The situation caused significant harm to multiple careers and was entirely avoidable.</w:t>
      </w:r>
    </w:p>
    <w:p>
      <w:pPr>
        <w:spacing w:before="80" w:after="80"/>
      </w:pPr>
      <w:r>
        <w:t xml:space="preserve"/>
      </w:r>
    </w:p>
    <w:p>
      <w:pPr>
        <w:spacing w:before="80" w:after="80" w:line="360"/>
        <w:jc w:val="both"/>
      </w:pPr>
      <w:r>
        <w:rPr>
          <w:rFonts w:ascii="Arial" w:cs="Arial" w:eastAsia="Arial" w:hAnsi="Arial"/>
          <w:sz w:val="24"/>
          <w:szCs w:val="24"/>
        </w:rPr>
        <w:t xml:space="preserve">What could have been done differently: The matter could have been addressed privately and directly — either by approaching the organisers of the event or by speaking with the individuals involved. Posting publicly and immediately on social media bypassed all de-escalation options and permanently amplified a minor issue into a major one. This case illustrates why the first rule of professional digital communication is to pause, consider the audience, and choose the appropriate channel before pressing send or post.</w:t>
      </w:r>
    </w:p>
    <w:p>
      <w:pPr>
        <w:pStyle w:val="Heading2"/>
        <w:spacing w:before="240" w:after="120"/>
      </w:pPr>
      <w:r>
        <w:rPr>
          <w:rFonts w:ascii="Arial" w:cs="Arial" w:eastAsia="Arial" w:hAnsi="Arial"/>
          <w:b/>
          <w:bCs/>
          <w:sz w:val="26"/>
          <w:szCs w:val="26"/>
        </w:rPr>
        <w:t xml:space="preserve">Key Learnings</w:t>
      </w:r>
    </w:p>
    <w:p>
      <w:pPr>
        <w:spacing w:before="80" w:after="80" w:line="360"/>
        <w:jc w:val="both"/>
      </w:pPr>
      <w:r>
        <w:rPr>
          <w:rFonts w:ascii="Arial" w:cs="Arial" w:eastAsia="Arial" w:hAnsi="Arial"/>
          <w:sz w:val="24"/>
          <w:szCs w:val="24"/>
        </w:rPr>
        <w:t xml:space="preserve">The process of writing both professional emails for this task taught me the value of clarity and brevity. A well-structured email with a specific subject line, a polite greeting, a clear request, and a professional sign-off communicates respect for the reader’s time — something that will matter greatly when I write to professors, internship coordinators, and collaborators throughout my engineering career.</w:t>
      </w:r>
    </w:p>
    <w:p>
      <w:r>
        <w:br w:type="page"/>
      </w:r>
    </w:p>
    <w:p>
      <w:pPr>
        <w:pStyle w:val="Heading1"/>
        <w:spacing w:before="320" w:after="160"/>
      </w:pPr>
      <w:r>
        <w:rPr>
          <w:rFonts w:ascii="Arial" w:cs="Arial" w:eastAsia="Arial" w:hAnsi="Arial"/>
          <w:b/>
          <w:bCs/>
          <w:sz w:val="32"/>
          <w:szCs w:val="32"/>
        </w:rPr>
        <w:t xml:space="preserve">Task 5 – Cybercrime Awareness: UPI / Online Payment Fraud</w:t>
      </w:r>
    </w:p>
    <w:p>
      <w:pPr>
        <w:pStyle w:val="Heading2"/>
        <w:spacing w:before="240" w:after="120"/>
      </w:pPr>
      <w:r>
        <w:rPr>
          <w:rFonts w:ascii="Arial" w:cs="Arial" w:eastAsia="Arial" w:hAnsi="Arial"/>
          <w:b/>
          <w:bCs/>
          <w:sz w:val="26"/>
          <w:szCs w:val="26"/>
        </w:rPr>
        <w:t xml:space="preserve">What Surprised Me Most</w:t>
      </w:r>
    </w:p>
    <w:p>
      <w:pPr>
        <w:spacing w:before="80" w:after="80" w:line="360"/>
        <w:jc w:val="both"/>
      </w:pPr>
      <w:r>
        <w:rPr>
          <w:rFonts w:ascii="Arial" w:cs="Arial" w:eastAsia="Arial" w:hAnsi="Arial"/>
          <w:sz w:val="24"/>
          <w:szCs w:val="24"/>
        </w:rPr>
        <w:t xml:space="preserve">The most surprising thing I discovered while researching UPI payment fraud was how technically simple most attacks actually are. I had assumed that cybercrime required sophisticated hacking tools or advanced programming knowledge. In reality, the most common and damaging UPI frauds rely entirely on psychological manipulation — specifically on the victim’s confusion between ‘sending’ and ‘receiving’ money on UPI. The fraudster does not break into any system. They simply send a payment request and rely on the victim entering their PIN, believing they are accepting money.</w:t>
      </w:r>
    </w:p>
    <w:p>
      <w:pPr>
        <w:spacing w:before="80" w:after="80"/>
      </w:pPr>
      <w:r>
        <w:t xml:space="preserve"/>
      </w:r>
    </w:p>
    <w:p>
      <w:pPr>
        <w:spacing w:before="80" w:after="80" w:line="360"/>
        <w:jc w:val="both"/>
      </w:pPr>
      <w:r>
        <w:rPr>
          <w:rFonts w:ascii="Arial" w:cs="Arial" w:eastAsia="Arial" w:hAnsi="Arial"/>
          <w:sz w:val="24"/>
          <w:szCs w:val="24"/>
        </w:rPr>
        <w:t xml:space="preserve">This was sobering because it means that even technically literate people — including engineering students — can fall victim if they are unfamiliar with how UPI transactions actually work. The Reserve Bank of India’s own data shows that UPI-related fraud complaints have grown significantly year on year, with a disproportionate number affecting young adults making their first independent financial transactions.</w:t>
      </w:r>
    </w:p>
    <w:p>
      <w:pPr>
        <w:pStyle w:val="Heading2"/>
        <w:spacing w:before="240" w:after="120"/>
      </w:pPr>
      <w:r>
        <w:rPr>
          <w:rFonts w:ascii="Arial" w:cs="Arial" w:eastAsia="Arial" w:hAnsi="Arial"/>
          <w:b/>
          <w:bCs/>
          <w:sz w:val="26"/>
          <w:szCs w:val="26"/>
        </w:rPr>
        <w:t xml:space="preserve">One Habit I Will Change</w:t>
      </w:r>
    </w:p>
    <w:p>
      <w:pPr>
        <w:spacing w:before="80" w:after="80" w:line="360"/>
        <w:jc w:val="both"/>
      </w:pPr>
      <w:r>
        <w:rPr>
          <w:rFonts w:ascii="Arial" w:cs="Arial" w:eastAsia="Arial" w:hAnsi="Arial"/>
          <w:sz w:val="24"/>
          <w:szCs w:val="24"/>
        </w:rPr>
        <w:t xml:space="preserve">After completing this task, I intend to set a daily UPI transaction limit in my banking app and to always verify the transaction type (debit or credit request) before entering my PIN. I will also save the Cyber Crime Helpline number — 1930 — in my contacts, so that in the unlikely event I or someone I know is defrauded, we can report it immediately rather than losing time searching for the right contact.</w:t>
      </w:r>
    </w:p>
    <w:p>
      <w:r>
        <w:br w:type="page"/>
      </w:r>
    </w:p>
    <w:p>
      <w:pPr>
        <w:pStyle w:val="Heading1"/>
        <w:spacing w:before="320" w:after="160"/>
      </w:pPr>
      <w:r>
        <w:rPr>
          <w:rFonts w:ascii="Arial" w:cs="Arial" w:eastAsia="Arial" w:hAnsi="Arial"/>
          <w:b/>
          <w:bCs/>
          <w:sz w:val="32"/>
          <w:szCs w:val="32"/>
        </w:rPr>
        <w:t xml:space="preserve">Conclusion</w:t>
      </w:r>
    </w:p>
    <w:p>
      <w:pPr>
        <w:spacing w:before="80" w:after="80" w:line="360"/>
        <w:jc w:val="both"/>
      </w:pPr>
      <w:r>
        <w:rPr>
          <w:rFonts w:ascii="Arial" w:cs="Arial" w:eastAsia="Arial" w:hAnsi="Arial"/>
          <w:sz w:val="24"/>
          <w:szCs w:val="24"/>
        </w:rPr>
        <w:t xml:space="preserve">The CSE0001 Digital Literacy project has been a valuable introduction to the tools, habits, and responsibilities that define life as a student and professional in the digital age. Across five tasks, I have built practical skills that go beyond this course — from setting up a professional GitHub profile that I will continue to develop over four years, to understanding how UPI fraud works and how to protect myself and my peers from it.</w:t>
      </w:r>
    </w:p>
    <w:p>
      <w:pPr>
        <w:spacing w:before="80" w:after="80"/>
      </w:pPr>
      <w:r>
        <w:t xml:space="preserve"/>
      </w:r>
    </w:p>
    <w:p>
      <w:pPr>
        <w:spacing w:before="80" w:after="80" w:line="360"/>
        <w:jc w:val="both"/>
      </w:pPr>
      <w:r>
        <w:rPr>
          <w:rFonts w:ascii="Arial" w:cs="Arial" w:eastAsia="Arial" w:hAnsi="Arial"/>
          <w:sz w:val="24"/>
          <w:szCs w:val="24"/>
        </w:rPr>
        <w:t xml:space="preserve">As an Aerospace Engineering student, I now have a clearer sense of how digital literacy connects to my technical goals. The ability to communicate professionally over email, collaborate on shared platforms, and maintain a credible online presence will be as important to my career as any subject I study in the classroom. This project has given me a strong foundation to build on.</w:t>
      </w:r>
    </w:p>
    <w:p>
      <w:r>
        <w:br w:type="page"/>
      </w:r>
    </w:p>
    <w:p>
      <w:pPr>
        <w:pStyle w:val="Heading1"/>
        <w:spacing w:before="320" w:after="160"/>
      </w:pPr>
      <w:r>
        <w:rPr>
          <w:rFonts w:ascii="Arial" w:cs="Arial" w:eastAsia="Arial" w:hAnsi="Arial"/>
          <w:b/>
          <w:bCs/>
          <w:sz w:val="32"/>
          <w:szCs w:val="32"/>
        </w:rPr>
        <w:t xml:space="preserve">References</w:t>
      </w:r>
    </w:p>
    <w:p>
      <w:pPr>
        <w:spacing w:before="80" w:after="80" w:line="360"/>
        <w:jc w:val="both"/>
      </w:pPr>
      <w:r>
        <w:rPr>
          <w:rFonts w:ascii="Arial" w:cs="Arial" w:eastAsia="Arial" w:hAnsi="Arial"/>
          <w:sz w:val="24"/>
          <w:szCs w:val="24"/>
        </w:rPr>
        <w:t xml:space="preserve">1. National Cyber Crime Reporting Portal, Government of India. cybercrime.gov.in</w:t>
      </w:r>
    </w:p>
    <w:p>
      <w:pPr>
        <w:spacing w:before="80" w:after="80" w:line="360"/>
        <w:jc w:val="both"/>
      </w:pPr>
      <w:r>
        <w:rPr>
          <w:rFonts w:ascii="Arial" w:cs="Arial" w:eastAsia="Arial" w:hAnsi="Arial"/>
          <w:sz w:val="24"/>
          <w:szCs w:val="24"/>
        </w:rPr>
        <w:t xml:space="preserve">2. Reserve Bank of India – Consumer Awareness: UPI Safety Guidelines. rbi.org.in</w:t>
      </w:r>
    </w:p>
    <w:p>
      <w:pPr>
        <w:spacing w:before="80" w:after="80" w:line="360"/>
        <w:jc w:val="both"/>
      </w:pPr>
      <w:r>
        <w:rPr>
          <w:rFonts w:ascii="Arial" w:cs="Arial" w:eastAsia="Arial" w:hAnsi="Arial"/>
          <w:sz w:val="24"/>
          <w:szCs w:val="24"/>
        </w:rPr>
        <w:t xml:space="preserve">3. Canva. Design platform used for Task 1 infographic. canva.com</w:t>
      </w:r>
    </w:p>
    <w:p>
      <w:pPr>
        <w:spacing w:before="80" w:after="80" w:line="360"/>
        <w:jc w:val="both"/>
      </w:pPr>
      <w:r>
        <w:rPr>
          <w:rFonts w:ascii="Arial" w:cs="Arial" w:eastAsia="Arial" w:hAnsi="Arial"/>
          <w:sz w:val="24"/>
          <w:szCs w:val="24"/>
        </w:rPr>
        <w:t xml:space="preserve">4. CodeChef. Competitive programming platform used for Task 3. codechef.com</w:t>
      </w:r>
    </w:p>
    <w:p>
      <w:pPr>
        <w:spacing w:before="80" w:after="80" w:line="360"/>
        <w:jc w:val="both"/>
      </w:pPr>
      <w:r>
        <w:rPr>
          <w:rFonts w:ascii="Arial" w:cs="Arial" w:eastAsia="Arial" w:hAnsi="Arial"/>
          <w:sz w:val="24"/>
          <w:szCs w:val="24"/>
        </w:rPr>
        <w:t xml:space="preserve">5. GitHub Docs. Creating a profile README. docs.github.com</w:t>
      </w:r>
    </w:p>
    <w:p>
      <w:pPr>
        <w:spacing w:before="80" w:after="80" w:line="360"/>
        <w:jc w:val="both"/>
      </w:pPr>
      <w:r>
        <w:rPr>
          <w:rFonts w:ascii="Arial" w:cs="Arial" w:eastAsia="Arial" w:hAnsi="Arial"/>
          <w:sz w:val="24"/>
          <w:szCs w:val="24"/>
        </w:rPr>
        <w:t xml:space="preserve">6. LinkedIn Help. Completing your profile. linkedin.com/help</w:t>
      </w:r>
    </w:p>
    <w:p>
      <w:pPr>
        <w:spacing w:before="80" w:after="80" w:line="360"/>
        <w:jc w:val="both"/>
      </w:pPr>
      <w:r>
        <w:rPr>
          <w:rFonts w:ascii="Arial" w:cs="Arial" w:eastAsia="Arial" w:hAnsi="Arial"/>
          <w:sz w:val="24"/>
          <w:szCs w:val="24"/>
        </w:rPr>
        <w:t xml:space="preserve">7. Google Workspace Learning Centre. Using Google Forms. workspace.google.com</w:t>
      </w:r>
    </w:p>
    <w:p>
      <w:pPr>
        <w:spacing w:before="80" w:after="80" w:line="360"/>
        <w:jc w:val="both"/>
      </w:pPr>
      <w:r>
        <w:rPr>
          <w:rFonts w:ascii="Arial" w:cs="Arial" w:eastAsia="Arial" w:hAnsi="Arial"/>
          <w:sz w:val="24"/>
          <w:szCs w:val="24"/>
        </w:rPr>
        <w:t xml:space="preserve">8. NPCI (National Payments Corporation of India). UPI ecosystem overview. npci.org.in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C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2026-03-29T08:36:23.810Z</dcterms:created>
  <dcterms:modified xsi:type="dcterms:W3CDTF">2026-03-29T08:36:23.811Z</dcterms:modified>
</cp:coreProperties>
</file>

<file path=docProps/custom.xml><?xml version="1.0" encoding="utf-8"?>
<Properties xmlns="http://schemas.openxmlformats.org/officeDocument/2006/custom-properties" xmlns:vt="http://schemas.openxmlformats.org/officeDocument/2006/docPropsVTypes"/>
</file>