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3366"/>
        </w:rPr>
        <w:t>ADTA 5940 Capstone — Model Selection Summary</w:t>
      </w:r>
    </w:p>
    <w:p>
      <w:pPr>
        <w:jc w:val="center"/>
      </w:pPr>
      <w:r>
        <w:rPr>
          <w:color w:val="646464"/>
          <w:sz w:val="24"/>
        </w:rPr>
        <w:t>Prepared: March 19, 2026  |  Team: Karan Parekh &amp; Chau Lee</w:t>
      </w:r>
    </w:p>
    <w:p/>
    <w:p>
      <w:pPr>
        <w:pStyle w:val="Heading1"/>
      </w:pPr>
      <w:r>
        <w:rPr>
          <w:color w:val="003366"/>
        </w:rPr>
        <w:t>1. What We Did</w:t>
      </w:r>
    </w:p>
    <w:p>
      <w:r>
        <w:rPr>
          <w:sz w:val="22"/>
        </w:rPr>
        <w:t xml:space="preserve">We ran a </w:t>
      </w:r>
      <w:r>
        <w:rPr>
          <w:b/>
        </w:rPr>
        <w:t>comprehensive model comparison</w:t>
      </w:r>
      <w:r>
        <w:t xml:space="preserve"> to find the best machine learning model for predicting </w:t>
      </w:r>
      <w:r>
        <w:rPr>
          <w:b/>
        </w:rPr>
        <w:t>federal employee job satisfaction</w:t>
      </w:r>
      <w:r>
        <w:t xml:space="preserve"> (FEVS survey question Q69, scored 1–5) using the 2024 OPM Federal Employee Viewpoint Survey (FEVS) dataset.</w:t>
      </w:r>
    </w:p>
    <w:p>
      <w:pPr>
        <w:pStyle w:val="ListBullet"/>
      </w:pPr>
      <w:r>
        <w:rPr>
          <w:b/>
        </w:rPr>
        <w:t xml:space="preserve">Dataset: </w:t>
      </w:r>
      <w:r>
        <w:t>674,207 survey responses, 96 columns</w:t>
      </w:r>
    </w:p>
    <w:p>
      <w:pPr>
        <w:pStyle w:val="ListBullet"/>
      </w:pPr>
      <w:r>
        <w:rPr>
          <w:b/>
        </w:rPr>
        <w:t xml:space="preserve">After cleaning (listwise deletion): </w:t>
      </w:r>
      <w:r>
        <w:t>453,082 usable rows</w:t>
      </w:r>
    </w:p>
    <w:p>
      <w:pPr>
        <w:pStyle w:val="ListBullet"/>
      </w:pPr>
      <w:r>
        <w:rPr>
          <w:b/>
        </w:rPr>
        <w:t xml:space="preserve">Train/Test split: </w:t>
      </w:r>
      <w:r>
        <w:t>80% training (362,465) / 20% testing (90,617)</w:t>
      </w:r>
    </w:p>
    <w:p>
      <w:pPr>
        <w:pStyle w:val="ListBullet"/>
      </w:pPr>
      <w:r>
        <w:rPr>
          <w:b/>
        </w:rPr>
        <w:t xml:space="preserve">Target variable: </w:t>
      </w:r>
      <w:r>
        <w:t>Q69 — "Considering everything, how satisfied are you with your job?" (1 = Very Dissatisfied → 5 = Very Satisfied, mean = 3.626)</w:t>
      </w:r>
    </w:p>
    <w:p>
      <w:pPr>
        <w:pStyle w:val="Heading2"/>
      </w:pPr>
      <w:r>
        <w:rPr>
          <w:color w:val="003366"/>
        </w:rPr>
        <w:t>Features Used (7 total)</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b/>
                <w:sz w:val="18"/>
              </w:rPr>
              <w:t>Feature</w:t>
            </w:r>
          </w:p>
        </w:tc>
        <w:tc>
          <w:tcPr>
            <w:tcW w:type="dxa" w:w="3120"/>
          </w:tcPr>
          <w:p>
            <w:pPr>
              <w:jc w:val="center"/>
            </w:pPr>
            <w:r>
              <w:rPr>
                <w:b/>
                <w:sz w:val="18"/>
              </w:rPr>
              <w:t>Description</w:t>
            </w:r>
          </w:p>
        </w:tc>
        <w:tc>
          <w:tcPr>
            <w:tcW w:type="dxa" w:w="3120"/>
          </w:tcPr>
          <w:p>
            <w:pPr>
              <w:jc w:val="center"/>
            </w:pPr>
            <w:r>
              <w:rPr>
                <w:b/>
                <w:sz w:val="18"/>
              </w:rPr>
              <w:t>Type</w:t>
            </w:r>
          </w:p>
        </w:tc>
      </w:tr>
      <w:tr>
        <w:tc>
          <w:tcPr>
            <w:tcW w:type="dxa" w:w="3120"/>
          </w:tcPr>
          <w:p>
            <w:r>
              <w:rPr>
                <w:sz w:val="18"/>
              </w:rPr>
              <w:t>Q61</w:t>
            </w:r>
          </w:p>
        </w:tc>
        <w:tc>
          <w:tcPr>
            <w:tcW w:type="dxa" w:w="3120"/>
          </w:tcPr>
          <w:p>
            <w:r>
              <w:rPr>
                <w:sz w:val="18"/>
              </w:rPr>
              <w:t>Telework frequency (1–5 scale)</w:t>
            </w:r>
          </w:p>
        </w:tc>
        <w:tc>
          <w:tcPr>
            <w:tcW w:type="dxa" w:w="3120"/>
          </w:tcPr>
          <w:p>
            <w:r>
              <w:rPr>
                <w:sz w:val="18"/>
              </w:rPr>
              <w:t>Survey item</w:t>
            </w:r>
          </w:p>
        </w:tc>
      </w:tr>
      <w:tr>
        <w:tc>
          <w:tcPr>
            <w:tcW w:type="dxa" w:w="3120"/>
          </w:tcPr>
          <w:p>
            <w:r>
              <w:rPr>
                <w:sz w:val="18"/>
              </w:rPr>
              <w:t>Q64</w:t>
            </w:r>
          </w:p>
        </w:tc>
        <w:tc>
          <w:tcPr>
            <w:tcW w:type="dxa" w:w="3120"/>
          </w:tcPr>
          <w:p>
            <w:r>
              <w:rPr>
                <w:sz w:val="18"/>
              </w:rPr>
              <w:t>Work-life balance satisfaction (1–5 scale)</w:t>
            </w:r>
          </w:p>
        </w:tc>
        <w:tc>
          <w:tcPr>
            <w:tcW w:type="dxa" w:w="3120"/>
          </w:tcPr>
          <w:p>
            <w:r>
              <w:rPr>
                <w:sz w:val="18"/>
              </w:rPr>
              <w:t>Survey item</w:t>
            </w:r>
          </w:p>
        </w:tc>
      </w:tr>
      <w:tr>
        <w:tc>
          <w:tcPr>
            <w:tcW w:type="dxa" w:w="3120"/>
          </w:tcPr>
          <w:p>
            <w:r>
              <w:rPr>
                <w:sz w:val="18"/>
              </w:rPr>
              <w:t>EEI</w:t>
            </w:r>
          </w:p>
        </w:tc>
        <w:tc>
          <w:tcPr>
            <w:tcW w:type="dxa" w:w="3120"/>
          </w:tcPr>
          <w:p>
            <w:r>
              <w:rPr>
                <w:sz w:val="18"/>
              </w:rPr>
              <w:t>Employee Engagement Index — composite mean of Q3, Q4, Q6, Q11–Q14</w:t>
            </w:r>
          </w:p>
        </w:tc>
        <w:tc>
          <w:tcPr>
            <w:tcW w:type="dxa" w:w="3120"/>
          </w:tcPr>
          <w:p>
            <w:r>
              <w:rPr>
                <w:sz w:val="18"/>
              </w:rPr>
              <w:t>Composite</w:t>
            </w:r>
          </w:p>
        </w:tc>
      </w:tr>
      <w:tr>
        <w:tc>
          <w:tcPr>
            <w:tcW w:type="dxa" w:w="3120"/>
          </w:tcPr>
          <w:p>
            <w:r>
              <w:rPr>
                <w:sz w:val="18"/>
              </w:rPr>
              <w:t>DAGEGRP</w:t>
            </w:r>
          </w:p>
        </w:tc>
        <w:tc>
          <w:tcPr>
            <w:tcW w:type="dxa" w:w="3120"/>
          </w:tcPr>
          <w:p>
            <w:r>
              <w:rPr>
                <w:sz w:val="18"/>
              </w:rPr>
              <w:t>Age group (0 = Under 40, 1 = 40+)</w:t>
            </w:r>
          </w:p>
        </w:tc>
        <w:tc>
          <w:tcPr>
            <w:tcW w:type="dxa" w:w="3120"/>
          </w:tcPr>
          <w:p>
            <w:r>
              <w:rPr>
                <w:sz w:val="18"/>
              </w:rPr>
              <w:t>Demographic</w:t>
            </w:r>
          </w:p>
        </w:tc>
      </w:tr>
      <w:tr>
        <w:tc>
          <w:tcPr>
            <w:tcW w:type="dxa" w:w="3120"/>
          </w:tcPr>
          <w:p>
            <w:r>
              <w:rPr>
                <w:sz w:val="18"/>
              </w:rPr>
              <w:t>DSEX</w:t>
            </w:r>
          </w:p>
        </w:tc>
        <w:tc>
          <w:tcPr>
            <w:tcW w:type="dxa" w:w="3120"/>
          </w:tcPr>
          <w:p>
            <w:r>
              <w:rPr>
                <w:sz w:val="18"/>
              </w:rPr>
              <w:t>Gender (0 = Male, 1 = Female)</w:t>
            </w:r>
          </w:p>
        </w:tc>
        <w:tc>
          <w:tcPr>
            <w:tcW w:type="dxa" w:w="3120"/>
          </w:tcPr>
          <w:p>
            <w:r>
              <w:rPr>
                <w:sz w:val="18"/>
              </w:rPr>
              <w:t>Demographic</w:t>
            </w:r>
          </w:p>
        </w:tc>
      </w:tr>
      <w:tr>
        <w:tc>
          <w:tcPr>
            <w:tcW w:type="dxa" w:w="3120"/>
          </w:tcPr>
          <w:p>
            <w:r>
              <w:rPr>
                <w:sz w:val="18"/>
              </w:rPr>
              <w:t>DSUPER</w:t>
            </w:r>
          </w:p>
        </w:tc>
        <w:tc>
          <w:tcPr>
            <w:tcW w:type="dxa" w:w="3120"/>
          </w:tcPr>
          <w:p>
            <w:r>
              <w:rPr>
                <w:sz w:val="18"/>
              </w:rPr>
              <w:t>Supervisory status (0 = Non-supervisor, 1 = Supervisor)</w:t>
            </w:r>
          </w:p>
        </w:tc>
        <w:tc>
          <w:tcPr>
            <w:tcW w:type="dxa" w:w="3120"/>
          </w:tcPr>
          <w:p>
            <w:r>
              <w:rPr>
                <w:sz w:val="18"/>
              </w:rPr>
              <w:t>Demographic</w:t>
            </w:r>
          </w:p>
        </w:tc>
      </w:tr>
      <w:tr>
        <w:tc>
          <w:tcPr>
            <w:tcW w:type="dxa" w:w="3120"/>
          </w:tcPr>
          <w:p>
            <w:r>
              <w:rPr>
                <w:sz w:val="18"/>
              </w:rPr>
              <w:t>DFEDTEN</w:t>
            </w:r>
          </w:p>
        </w:tc>
        <w:tc>
          <w:tcPr>
            <w:tcW w:type="dxa" w:w="3120"/>
          </w:tcPr>
          <w:p>
            <w:r>
              <w:rPr>
                <w:sz w:val="18"/>
              </w:rPr>
              <w:t>Federal tenure (0 = &lt;10yr, 1 = 10–20yr, 2 = 20+yr)</w:t>
            </w:r>
          </w:p>
        </w:tc>
        <w:tc>
          <w:tcPr>
            <w:tcW w:type="dxa" w:w="3120"/>
          </w:tcPr>
          <w:p>
            <w:r>
              <w:rPr>
                <w:sz w:val="18"/>
              </w:rPr>
              <w:t>Demographic</w:t>
            </w:r>
          </w:p>
        </w:tc>
      </w:tr>
    </w:tbl>
    <w:p>
      <w:r>
        <w:br w:type="page"/>
      </w:r>
    </w:p>
    <w:p>
      <w:pPr>
        <w:pStyle w:val="Heading1"/>
      </w:pPr>
      <w:r>
        <w:rPr>
          <w:color w:val="003366"/>
        </w:rPr>
        <w:t>2. All 14 Models Tested — Full Results</w:t>
      </w:r>
    </w:p>
    <w:tbl>
      <w:tblPr>
        <w:tblStyle w:val="LightGrid-Accent1"/>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jc w:val="center"/>
            </w:pPr>
            <w:r>
              <w:rPr>
                <w:b/>
                <w:sz w:val="18"/>
              </w:rPr>
              <w:t>Rank</w:t>
            </w:r>
          </w:p>
        </w:tc>
        <w:tc>
          <w:tcPr>
            <w:tcW w:type="dxa" w:w="1040"/>
          </w:tcPr>
          <w:p>
            <w:pPr>
              <w:jc w:val="center"/>
            </w:pPr>
            <w:r>
              <w:rPr>
                <w:b/>
                <w:sz w:val="18"/>
              </w:rPr>
              <w:t>Model</w:t>
            </w:r>
          </w:p>
        </w:tc>
        <w:tc>
          <w:tcPr>
            <w:tcW w:type="dxa" w:w="1040"/>
          </w:tcPr>
          <w:p>
            <w:pPr>
              <w:jc w:val="center"/>
            </w:pPr>
            <w:r>
              <w:rPr>
                <w:b/>
                <w:sz w:val="18"/>
              </w:rPr>
              <w:t>R² (Test)</w:t>
            </w:r>
          </w:p>
        </w:tc>
        <w:tc>
          <w:tcPr>
            <w:tcW w:type="dxa" w:w="1040"/>
          </w:tcPr>
          <w:p>
            <w:pPr>
              <w:jc w:val="center"/>
            </w:pPr>
            <w:r>
              <w:rPr>
                <w:b/>
                <w:sz w:val="18"/>
              </w:rPr>
              <w:t>R² (Train)</w:t>
            </w:r>
          </w:p>
        </w:tc>
        <w:tc>
          <w:tcPr>
            <w:tcW w:type="dxa" w:w="1040"/>
          </w:tcPr>
          <w:p>
            <w:pPr>
              <w:jc w:val="center"/>
            </w:pPr>
            <w:r>
              <w:rPr>
                <w:b/>
                <w:sz w:val="18"/>
              </w:rPr>
              <w:t>MAE</w:t>
            </w:r>
          </w:p>
        </w:tc>
        <w:tc>
          <w:tcPr>
            <w:tcW w:type="dxa" w:w="1040"/>
          </w:tcPr>
          <w:p>
            <w:pPr>
              <w:jc w:val="center"/>
            </w:pPr>
            <w:r>
              <w:rPr>
                <w:b/>
                <w:sz w:val="18"/>
              </w:rPr>
              <w:t>RMSE</w:t>
            </w:r>
          </w:p>
        </w:tc>
        <w:tc>
          <w:tcPr>
            <w:tcW w:type="dxa" w:w="1040"/>
          </w:tcPr>
          <w:p>
            <w:pPr>
              <w:jc w:val="center"/>
            </w:pPr>
            <w:r>
              <w:rPr>
                <w:b/>
                <w:sz w:val="18"/>
              </w:rPr>
              <w:t>CV R² Mean</w:t>
            </w:r>
          </w:p>
        </w:tc>
        <w:tc>
          <w:tcPr>
            <w:tcW w:type="dxa" w:w="1040"/>
          </w:tcPr>
          <w:p>
            <w:pPr>
              <w:jc w:val="center"/>
            </w:pPr>
            <w:r>
              <w:rPr>
                <w:b/>
                <w:sz w:val="18"/>
              </w:rPr>
              <w:t>CV R² Std</w:t>
            </w:r>
          </w:p>
        </w:tc>
        <w:tc>
          <w:tcPr>
            <w:tcW w:type="dxa" w:w="1040"/>
          </w:tcPr>
          <w:p>
            <w:pPr>
              <w:jc w:val="center"/>
            </w:pPr>
            <w:r>
              <w:rPr>
                <w:b/>
                <w:sz w:val="18"/>
              </w:rPr>
              <w:t>Time</w:t>
            </w:r>
          </w:p>
        </w:tc>
      </w:tr>
      <w:tr>
        <w:tc>
          <w:tcPr>
            <w:tcW w:type="dxa" w:w="1040"/>
          </w:tcPr>
          <w:p>
            <w:r>
              <w:rPr>
                <w:sz w:val="18"/>
              </w:rPr>
              <w:t>1</w:t>
            </w:r>
          </w:p>
        </w:tc>
        <w:tc>
          <w:tcPr>
            <w:tcW w:type="dxa" w:w="1040"/>
          </w:tcPr>
          <w:p>
            <w:r>
              <w:rPr>
                <w:sz w:val="18"/>
              </w:rPr>
              <w:t>XGBoost</w:t>
            </w:r>
          </w:p>
        </w:tc>
        <w:tc>
          <w:tcPr>
            <w:tcW w:type="dxa" w:w="1040"/>
          </w:tcPr>
          <w:p>
            <w:r>
              <w:rPr>
                <w:sz w:val="18"/>
              </w:rPr>
              <w:t>0.5322</w:t>
            </w:r>
          </w:p>
        </w:tc>
        <w:tc>
          <w:tcPr>
            <w:tcW w:type="dxa" w:w="1040"/>
          </w:tcPr>
          <w:p>
            <w:r>
              <w:rPr>
                <w:sz w:val="18"/>
              </w:rPr>
              <w:t>0.5339</w:t>
            </w:r>
          </w:p>
        </w:tc>
        <w:tc>
          <w:tcPr>
            <w:tcW w:type="dxa" w:w="1040"/>
          </w:tcPr>
          <w:p>
            <w:r>
              <w:rPr>
                <w:sz w:val="18"/>
              </w:rPr>
              <w:t>0.6056</w:t>
            </w:r>
          </w:p>
        </w:tc>
        <w:tc>
          <w:tcPr>
            <w:tcW w:type="dxa" w:w="1040"/>
          </w:tcPr>
          <w:p>
            <w:r>
              <w:rPr>
                <w:sz w:val="18"/>
              </w:rPr>
              <w:t>0.8016</w:t>
            </w:r>
          </w:p>
        </w:tc>
        <w:tc>
          <w:tcPr>
            <w:tcW w:type="dxa" w:w="1040"/>
          </w:tcPr>
          <w:p>
            <w:r>
              <w:rPr>
                <w:sz w:val="18"/>
              </w:rPr>
              <w:t>0.5241</w:t>
            </w:r>
          </w:p>
        </w:tc>
        <w:tc>
          <w:tcPr>
            <w:tcW w:type="dxa" w:w="1040"/>
          </w:tcPr>
          <w:p>
            <w:r>
              <w:rPr>
                <w:sz w:val="18"/>
              </w:rPr>
              <w:t>0.0031</w:t>
            </w:r>
          </w:p>
        </w:tc>
        <w:tc>
          <w:tcPr>
            <w:tcW w:type="dxa" w:w="1040"/>
          </w:tcPr>
          <w:p>
            <w:r>
              <w:rPr>
                <w:sz w:val="18"/>
              </w:rPr>
              <w:t>2.69s</w:t>
            </w:r>
          </w:p>
        </w:tc>
      </w:tr>
      <w:tr>
        <w:tc>
          <w:tcPr>
            <w:tcW w:type="dxa" w:w="1040"/>
          </w:tcPr>
          <w:p>
            <w:r>
              <w:rPr>
                <w:sz w:val="18"/>
              </w:rPr>
              <w:t>2</w:t>
            </w:r>
          </w:p>
        </w:tc>
        <w:tc>
          <w:tcPr>
            <w:tcW w:type="dxa" w:w="1040"/>
          </w:tcPr>
          <w:p>
            <w:r>
              <w:rPr>
                <w:sz w:val="18"/>
              </w:rPr>
              <w:t>LightGBM</w:t>
            </w:r>
          </w:p>
        </w:tc>
        <w:tc>
          <w:tcPr>
            <w:tcW w:type="dxa" w:w="1040"/>
          </w:tcPr>
          <w:p>
            <w:r>
              <w:rPr>
                <w:sz w:val="18"/>
              </w:rPr>
              <w:t>0.5322</w:t>
            </w:r>
          </w:p>
        </w:tc>
        <w:tc>
          <w:tcPr>
            <w:tcW w:type="dxa" w:w="1040"/>
          </w:tcPr>
          <w:p>
            <w:r>
              <w:rPr>
                <w:sz w:val="18"/>
              </w:rPr>
              <w:t>0.5337</w:t>
            </w:r>
          </w:p>
        </w:tc>
        <w:tc>
          <w:tcPr>
            <w:tcW w:type="dxa" w:w="1040"/>
          </w:tcPr>
          <w:p>
            <w:r>
              <w:rPr>
                <w:sz w:val="18"/>
              </w:rPr>
              <w:t>0.6057</w:t>
            </w:r>
          </w:p>
        </w:tc>
        <w:tc>
          <w:tcPr>
            <w:tcW w:type="dxa" w:w="1040"/>
          </w:tcPr>
          <w:p>
            <w:r>
              <w:rPr>
                <w:sz w:val="18"/>
              </w:rPr>
              <w:t>0.8015</w:t>
            </w:r>
          </w:p>
        </w:tc>
        <w:tc>
          <w:tcPr>
            <w:tcW w:type="dxa" w:w="1040"/>
          </w:tcPr>
          <w:p>
            <w:r>
              <w:rPr>
                <w:sz w:val="18"/>
              </w:rPr>
              <w:t>0.5243</w:t>
            </w:r>
          </w:p>
        </w:tc>
        <w:tc>
          <w:tcPr>
            <w:tcW w:type="dxa" w:w="1040"/>
          </w:tcPr>
          <w:p>
            <w:r>
              <w:rPr>
                <w:sz w:val="18"/>
              </w:rPr>
              <w:t>0.0058</w:t>
            </w:r>
          </w:p>
        </w:tc>
        <w:tc>
          <w:tcPr>
            <w:tcW w:type="dxa" w:w="1040"/>
          </w:tcPr>
          <w:p>
            <w:r>
              <w:rPr>
                <w:sz w:val="18"/>
              </w:rPr>
              <w:t>0.38s</w:t>
            </w:r>
          </w:p>
        </w:tc>
      </w:tr>
      <w:tr>
        <w:tc>
          <w:tcPr>
            <w:tcW w:type="dxa" w:w="1040"/>
          </w:tcPr>
          <w:p>
            <w:r>
              <w:rPr>
                <w:sz w:val="18"/>
              </w:rPr>
              <w:t>3</w:t>
            </w:r>
          </w:p>
        </w:tc>
        <w:tc>
          <w:tcPr>
            <w:tcW w:type="dxa" w:w="1040"/>
          </w:tcPr>
          <w:p>
            <w:r>
              <w:rPr>
                <w:sz w:val="18"/>
              </w:rPr>
              <w:t>Gradient Boosting</w:t>
            </w:r>
          </w:p>
        </w:tc>
        <w:tc>
          <w:tcPr>
            <w:tcW w:type="dxa" w:w="1040"/>
          </w:tcPr>
          <w:p>
            <w:r>
              <w:rPr>
                <w:sz w:val="18"/>
              </w:rPr>
              <w:t>0.5321</w:t>
            </w:r>
          </w:p>
        </w:tc>
        <w:tc>
          <w:tcPr>
            <w:tcW w:type="dxa" w:w="1040"/>
          </w:tcPr>
          <w:p>
            <w:r>
              <w:rPr>
                <w:sz w:val="18"/>
              </w:rPr>
              <w:t>0.5340</w:t>
            </w:r>
          </w:p>
        </w:tc>
        <w:tc>
          <w:tcPr>
            <w:tcW w:type="dxa" w:w="1040"/>
          </w:tcPr>
          <w:p>
            <w:r>
              <w:rPr>
                <w:sz w:val="18"/>
              </w:rPr>
              <w:t>0.6057</w:t>
            </w:r>
          </w:p>
        </w:tc>
        <w:tc>
          <w:tcPr>
            <w:tcW w:type="dxa" w:w="1040"/>
          </w:tcPr>
          <w:p>
            <w:r>
              <w:rPr>
                <w:sz w:val="18"/>
              </w:rPr>
              <w:t>0.8016</w:t>
            </w:r>
          </w:p>
        </w:tc>
        <w:tc>
          <w:tcPr>
            <w:tcW w:type="dxa" w:w="1040"/>
          </w:tcPr>
          <w:p>
            <w:r>
              <w:rPr>
                <w:sz w:val="18"/>
              </w:rPr>
              <w:t>0.5239</w:t>
            </w:r>
          </w:p>
        </w:tc>
        <w:tc>
          <w:tcPr>
            <w:tcW w:type="dxa" w:w="1040"/>
          </w:tcPr>
          <w:p>
            <w:r>
              <w:rPr>
                <w:sz w:val="18"/>
              </w:rPr>
              <w:t>0.0104</w:t>
            </w:r>
          </w:p>
        </w:tc>
        <w:tc>
          <w:tcPr>
            <w:tcW w:type="dxa" w:w="1040"/>
          </w:tcPr>
          <w:p>
            <w:r>
              <w:rPr>
                <w:sz w:val="18"/>
              </w:rPr>
              <w:t>18.05s</w:t>
            </w:r>
          </w:p>
        </w:tc>
      </w:tr>
      <w:tr>
        <w:tc>
          <w:tcPr>
            <w:tcW w:type="dxa" w:w="1040"/>
          </w:tcPr>
          <w:p>
            <w:r>
              <w:rPr>
                <w:sz w:val="18"/>
              </w:rPr>
              <w:t>4</w:t>
            </w:r>
          </w:p>
        </w:tc>
        <w:tc>
          <w:tcPr>
            <w:tcW w:type="dxa" w:w="1040"/>
          </w:tcPr>
          <w:p>
            <w:r>
              <w:rPr>
                <w:sz w:val="18"/>
              </w:rPr>
              <w:t>Extra Trees</w:t>
            </w:r>
          </w:p>
        </w:tc>
        <w:tc>
          <w:tcPr>
            <w:tcW w:type="dxa" w:w="1040"/>
          </w:tcPr>
          <w:p>
            <w:r>
              <w:rPr>
                <w:sz w:val="18"/>
              </w:rPr>
              <w:t>0.5308</w:t>
            </w:r>
          </w:p>
        </w:tc>
        <w:tc>
          <w:tcPr>
            <w:tcW w:type="dxa" w:w="1040"/>
          </w:tcPr>
          <w:p>
            <w:r>
              <w:rPr>
                <w:sz w:val="18"/>
              </w:rPr>
              <w:t>0.5369</w:t>
            </w:r>
          </w:p>
        </w:tc>
        <w:tc>
          <w:tcPr>
            <w:tcW w:type="dxa" w:w="1040"/>
          </w:tcPr>
          <w:p>
            <w:r>
              <w:rPr>
                <w:sz w:val="18"/>
              </w:rPr>
              <w:t>0.6074</w:t>
            </w:r>
          </w:p>
        </w:tc>
        <w:tc>
          <w:tcPr>
            <w:tcW w:type="dxa" w:w="1040"/>
          </w:tcPr>
          <w:p>
            <w:r>
              <w:rPr>
                <w:sz w:val="18"/>
              </w:rPr>
              <w:t>0.8027</w:t>
            </w:r>
          </w:p>
        </w:tc>
        <w:tc>
          <w:tcPr>
            <w:tcW w:type="dxa" w:w="1040"/>
          </w:tcPr>
          <w:p>
            <w:r>
              <w:rPr>
                <w:sz w:val="18"/>
              </w:rPr>
              <w:t>0.5230</w:t>
            </w:r>
          </w:p>
        </w:tc>
        <w:tc>
          <w:tcPr>
            <w:tcW w:type="dxa" w:w="1040"/>
          </w:tcPr>
          <w:p>
            <w:r>
              <w:rPr>
                <w:sz w:val="18"/>
              </w:rPr>
              <w:t>0.0127</w:t>
            </w:r>
          </w:p>
        </w:tc>
        <w:tc>
          <w:tcPr>
            <w:tcW w:type="dxa" w:w="1040"/>
          </w:tcPr>
          <w:p>
            <w:r>
              <w:rPr>
                <w:sz w:val="18"/>
              </w:rPr>
              <w:t>2.27s</w:t>
            </w:r>
          </w:p>
        </w:tc>
      </w:tr>
      <w:tr>
        <w:tc>
          <w:tcPr>
            <w:tcW w:type="dxa" w:w="1040"/>
          </w:tcPr>
          <w:p>
            <w:r>
              <w:rPr>
                <w:sz w:val="18"/>
              </w:rPr>
              <w:t>5</w:t>
            </w:r>
          </w:p>
        </w:tc>
        <w:tc>
          <w:tcPr>
            <w:tcW w:type="dxa" w:w="1040"/>
          </w:tcPr>
          <w:p>
            <w:r>
              <w:rPr>
                <w:sz w:val="18"/>
              </w:rPr>
              <w:t>Random Forest</w:t>
            </w:r>
          </w:p>
        </w:tc>
        <w:tc>
          <w:tcPr>
            <w:tcW w:type="dxa" w:w="1040"/>
          </w:tcPr>
          <w:p>
            <w:r>
              <w:rPr>
                <w:sz w:val="18"/>
              </w:rPr>
              <w:t>0.5307</w:t>
            </w:r>
          </w:p>
        </w:tc>
        <w:tc>
          <w:tcPr>
            <w:tcW w:type="dxa" w:w="1040"/>
          </w:tcPr>
          <w:p>
            <w:r>
              <w:rPr>
                <w:sz w:val="18"/>
              </w:rPr>
              <w:t>0.5374</w:t>
            </w:r>
          </w:p>
        </w:tc>
        <w:tc>
          <w:tcPr>
            <w:tcW w:type="dxa" w:w="1040"/>
          </w:tcPr>
          <w:p>
            <w:r>
              <w:rPr>
                <w:sz w:val="18"/>
              </w:rPr>
              <w:t>0.6063</w:t>
            </w:r>
          </w:p>
        </w:tc>
        <w:tc>
          <w:tcPr>
            <w:tcW w:type="dxa" w:w="1040"/>
          </w:tcPr>
          <w:p>
            <w:r>
              <w:rPr>
                <w:sz w:val="18"/>
              </w:rPr>
              <w:t>0.8028</w:t>
            </w:r>
          </w:p>
        </w:tc>
        <w:tc>
          <w:tcPr>
            <w:tcW w:type="dxa" w:w="1040"/>
          </w:tcPr>
          <w:p>
            <w:r>
              <w:rPr>
                <w:sz w:val="18"/>
              </w:rPr>
              <w:t>0.5142</w:t>
            </w:r>
          </w:p>
        </w:tc>
        <w:tc>
          <w:tcPr>
            <w:tcW w:type="dxa" w:w="1040"/>
          </w:tcPr>
          <w:p>
            <w:r>
              <w:rPr>
                <w:sz w:val="18"/>
              </w:rPr>
              <w:t>0.0042</w:t>
            </w:r>
          </w:p>
        </w:tc>
        <w:tc>
          <w:tcPr>
            <w:tcW w:type="dxa" w:w="1040"/>
          </w:tcPr>
          <w:p>
            <w:r>
              <w:rPr>
                <w:sz w:val="18"/>
              </w:rPr>
              <w:t>3.13s</w:t>
            </w:r>
          </w:p>
        </w:tc>
      </w:tr>
      <w:tr>
        <w:tc>
          <w:tcPr>
            <w:tcW w:type="dxa" w:w="1040"/>
          </w:tcPr>
          <w:p>
            <w:r>
              <w:rPr>
                <w:sz w:val="18"/>
              </w:rPr>
              <w:t>6</w:t>
            </w:r>
          </w:p>
        </w:tc>
        <w:tc>
          <w:tcPr>
            <w:tcW w:type="dxa" w:w="1040"/>
          </w:tcPr>
          <w:p>
            <w:r>
              <w:rPr>
                <w:sz w:val="18"/>
              </w:rPr>
              <w:t>Decision Tree</w:t>
            </w:r>
          </w:p>
        </w:tc>
        <w:tc>
          <w:tcPr>
            <w:tcW w:type="dxa" w:w="1040"/>
          </w:tcPr>
          <w:p>
            <w:r>
              <w:rPr>
                <w:sz w:val="18"/>
              </w:rPr>
              <w:t>0.5287</w:t>
            </w:r>
          </w:p>
        </w:tc>
        <w:tc>
          <w:tcPr>
            <w:tcW w:type="dxa" w:w="1040"/>
          </w:tcPr>
          <w:p>
            <w:r>
              <w:rPr>
                <w:sz w:val="18"/>
              </w:rPr>
              <w:t>0.5357</w:t>
            </w:r>
          </w:p>
        </w:tc>
        <w:tc>
          <w:tcPr>
            <w:tcW w:type="dxa" w:w="1040"/>
          </w:tcPr>
          <w:p>
            <w:r>
              <w:rPr>
                <w:sz w:val="18"/>
              </w:rPr>
              <w:t>0.6072</w:t>
            </w:r>
          </w:p>
        </w:tc>
        <w:tc>
          <w:tcPr>
            <w:tcW w:type="dxa" w:w="1040"/>
          </w:tcPr>
          <w:p>
            <w:r>
              <w:rPr>
                <w:sz w:val="18"/>
              </w:rPr>
              <w:t>0.8045</w:t>
            </w:r>
          </w:p>
        </w:tc>
        <w:tc>
          <w:tcPr>
            <w:tcW w:type="dxa" w:w="1040"/>
          </w:tcPr>
          <w:p>
            <w:r>
              <w:rPr>
                <w:sz w:val="18"/>
              </w:rPr>
              <w:t>0.5079</w:t>
            </w:r>
          </w:p>
        </w:tc>
        <w:tc>
          <w:tcPr>
            <w:tcW w:type="dxa" w:w="1040"/>
          </w:tcPr>
          <w:p>
            <w:r>
              <w:rPr>
                <w:sz w:val="18"/>
              </w:rPr>
              <w:t>0.0053</w:t>
            </w:r>
          </w:p>
        </w:tc>
        <w:tc>
          <w:tcPr>
            <w:tcW w:type="dxa" w:w="1040"/>
          </w:tcPr>
          <w:p>
            <w:r>
              <w:rPr>
                <w:sz w:val="18"/>
              </w:rPr>
              <w:t>0.21s</w:t>
            </w:r>
          </w:p>
        </w:tc>
      </w:tr>
      <w:tr>
        <w:tc>
          <w:tcPr>
            <w:tcW w:type="dxa" w:w="1040"/>
          </w:tcPr>
          <w:p>
            <w:r>
              <w:rPr>
                <w:sz w:val="18"/>
              </w:rPr>
              <w:t>7</w:t>
            </w:r>
          </w:p>
        </w:tc>
        <w:tc>
          <w:tcPr>
            <w:tcW w:type="dxa" w:w="1040"/>
          </w:tcPr>
          <w:p>
            <w:r>
              <w:rPr>
                <w:sz w:val="18"/>
              </w:rPr>
              <w:t>MLP Neural Net</w:t>
            </w:r>
          </w:p>
        </w:tc>
        <w:tc>
          <w:tcPr>
            <w:tcW w:type="dxa" w:w="1040"/>
          </w:tcPr>
          <w:p>
            <w:r>
              <w:rPr>
                <w:sz w:val="18"/>
              </w:rPr>
              <w:t>0.5259</w:t>
            </w:r>
          </w:p>
        </w:tc>
        <w:tc>
          <w:tcPr>
            <w:tcW w:type="dxa" w:w="1040"/>
          </w:tcPr>
          <w:p>
            <w:r>
              <w:rPr>
                <w:sz w:val="18"/>
              </w:rPr>
              <w:t>0.5343</w:t>
            </w:r>
          </w:p>
        </w:tc>
        <w:tc>
          <w:tcPr>
            <w:tcW w:type="dxa" w:w="1040"/>
          </w:tcPr>
          <w:p>
            <w:r>
              <w:rPr>
                <w:sz w:val="18"/>
              </w:rPr>
              <w:t>0.6202</w:t>
            </w:r>
          </w:p>
        </w:tc>
        <w:tc>
          <w:tcPr>
            <w:tcW w:type="dxa" w:w="1040"/>
          </w:tcPr>
          <w:p>
            <w:r>
              <w:rPr>
                <w:sz w:val="18"/>
              </w:rPr>
              <w:t>0.8070</w:t>
            </w:r>
          </w:p>
        </w:tc>
        <w:tc>
          <w:tcPr>
            <w:tcW w:type="dxa" w:w="1040"/>
          </w:tcPr>
          <w:p>
            <w:r>
              <w:rPr>
                <w:sz w:val="18"/>
              </w:rPr>
              <w:t>0.5268</w:t>
            </w:r>
          </w:p>
        </w:tc>
        <w:tc>
          <w:tcPr>
            <w:tcW w:type="dxa" w:w="1040"/>
          </w:tcPr>
          <w:p>
            <w:r>
              <w:rPr>
                <w:sz w:val="18"/>
              </w:rPr>
              <w:t>0.0090</w:t>
            </w:r>
          </w:p>
        </w:tc>
        <w:tc>
          <w:tcPr>
            <w:tcW w:type="dxa" w:w="1040"/>
          </w:tcPr>
          <w:p>
            <w:r>
              <w:rPr>
                <w:sz w:val="18"/>
              </w:rPr>
              <w:t>2.42s</w:t>
            </w:r>
          </w:p>
        </w:tc>
      </w:tr>
      <w:tr>
        <w:tc>
          <w:tcPr>
            <w:tcW w:type="dxa" w:w="1040"/>
          </w:tcPr>
          <w:p>
            <w:r>
              <w:rPr>
                <w:sz w:val="18"/>
              </w:rPr>
              <w:t>8</w:t>
            </w:r>
          </w:p>
        </w:tc>
        <w:tc>
          <w:tcPr>
            <w:tcW w:type="dxa" w:w="1040"/>
          </w:tcPr>
          <w:p>
            <w:r>
              <w:rPr>
                <w:sz w:val="18"/>
              </w:rPr>
              <w:t>Linear Regression</w:t>
            </w:r>
          </w:p>
        </w:tc>
        <w:tc>
          <w:tcPr>
            <w:tcW w:type="dxa" w:w="1040"/>
          </w:tcPr>
          <w:p>
            <w:r>
              <w:rPr>
                <w:sz w:val="18"/>
              </w:rPr>
              <w:t>0.5254</w:t>
            </w:r>
          </w:p>
        </w:tc>
        <w:tc>
          <w:tcPr>
            <w:tcW w:type="dxa" w:w="1040"/>
          </w:tcPr>
          <w:p>
            <w:r>
              <w:rPr>
                <w:sz w:val="18"/>
              </w:rPr>
              <w:t>0.5243</w:t>
            </w:r>
          </w:p>
        </w:tc>
        <w:tc>
          <w:tcPr>
            <w:tcW w:type="dxa" w:w="1040"/>
          </w:tcPr>
          <w:p>
            <w:r>
              <w:rPr>
                <w:sz w:val="18"/>
              </w:rPr>
              <w:t>0.6172</w:t>
            </w:r>
          </w:p>
        </w:tc>
        <w:tc>
          <w:tcPr>
            <w:tcW w:type="dxa" w:w="1040"/>
          </w:tcPr>
          <w:p>
            <w:r>
              <w:rPr>
                <w:sz w:val="18"/>
              </w:rPr>
              <w:t>0.8073</w:t>
            </w:r>
          </w:p>
        </w:tc>
        <w:tc>
          <w:tcPr>
            <w:tcW w:type="dxa" w:w="1040"/>
          </w:tcPr>
          <w:p>
            <w:r>
              <w:rPr>
                <w:sz w:val="18"/>
              </w:rPr>
              <w:t>0.5242</w:t>
            </w:r>
          </w:p>
        </w:tc>
        <w:tc>
          <w:tcPr>
            <w:tcW w:type="dxa" w:w="1040"/>
          </w:tcPr>
          <w:p>
            <w:r>
              <w:rPr>
                <w:sz w:val="18"/>
              </w:rPr>
              <w:t>0.0034</w:t>
            </w:r>
          </w:p>
        </w:tc>
        <w:tc>
          <w:tcPr>
            <w:tcW w:type="dxa" w:w="1040"/>
          </w:tcPr>
          <w:p>
            <w:r>
              <w:rPr>
                <w:sz w:val="18"/>
              </w:rPr>
              <w:t>0.06s</w:t>
            </w:r>
          </w:p>
        </w:tc>
      </w:tr>
      <w:tr>
        <w:tc>
          <w:tcPr>
            <w:tcW w:type="dxa" w:w="1040"/>
          </w:tcPr>
          <w:p>
            <w:r>
              <w:rPr>
                <w:sz w:val="18"/>
              </w:rPr>
              <w:t>9</w:t>
            </w:r>
          </w:p>
        </w:tc>
        <w:tc>
          <w:tcPr>
            <w:tcW w:type="dxa" w:w="1040"/>
          </w:tcPr>
          <w:p>
            <w:r>
              <w:rPr>
                <w:sz w:val="18"/>
              </w:rPr>
              <w:t>Ridge Regression</w:t>
            </w:r>
          </w:p>
        </w:tc>
        <w:tc>
          <w:tcPr>
            <w:tcW w:type="dxa" w:w="1040"/>
          </w:tcPr>
          <w:p>
            <w:r>
              <w:rPr>
                <w:sz w:val="18"/>
              </w:rPr>
              <w:t>0.5254</w:t>
            </w:r>
          </w:p>
        </w:tc>
        <w:tc>
          <w:tcPr>
            <w:tcW w:type="dxa" w:w="1040"/>
          </w:tcPr>
          <w:p>
            <w:r>
              <w:rPr>
                <w:sz w:val="18"/>
              </w:rPr>
              <w:t>0.5243</w:t>
            </w:r>
          </w:p>
        </w:tc>
        <w:tc>
          <w:tcPr>
            <w:tcW w:type="dxa" w:w="1040"/>
          </w:tcPr>
          <w:p>
            <w:r>
              <w:rPr>
                <w:sz w:val="18"/>
              </w:rPr>
              <w:t>0.6172</w:t>
            </w:r>
          </w:p>
        </w:tc>
        <w:tc>
          <w:tcPr>
            <w:tcW w:type="dxa" w:w="1040"/>
          </w:tcPr>
          <w:p>
            <w:r>
              <w:rPr>
                <w:sz w:val="18"/>
              </w:rPr>
              <w:t>0.8073</w:t>
            </w:r>
          </w:p>
        </w:tc>
        <w:tc>
          <w:tcPr>
            <w:tcW w:type="dxa" w:w="1040"/>
          </w:tcPr>
          <w:p>
            <w:r>
              <w:rPr>
                <w:sz w:val="18"/>
              </w:rPr>
              <w:t>0.5230</w:t>
            </w:r>
          </w:p>
        </w:tc>
        <w:tc>
          <w:tcPr>
            <w:tcW w:type="dxa" w:w="1040"/>
          </w:tcPr>
          <w:p>
            <w:r>
              <w:rPr>
                <w:sz w:val="18"/>
              </w:rPr>
              <w:t>0.0052</w:t>
            </w:r>
          </w:p>
        </w:tc>
        <w:tc>
          <w:tcPr>
            <w:tcW w:type="dxa" w:w="1040"/>
          </w:tcPr>
          <w:p>
            <w:r>
              <w:rPr>
                <w:sz w:val="18"/>
              </w:rPr>
              <w:t>0.05s</w:t>
            </w:r>
          </w:p>
        </w:tc>
      </w:tr>
      <w:tr>
        <w:tc>
          <w:tcPr>
            <w:tcW w:type="dxa" w:w="1040"/>
          </w:tcPr>
          <w:p>
            <w:r>
              <w:rPr>
                <w:sz w:val="18"/>
              </w:rPr>
              <w:t>10</w:t>
            </w:r>
          </w:p>
        </w:tc>
        <w:tc>
          <w:tcPr>
            <w:tcW w:type="dxa" w:w="1040"/>
          </w:tcPr>
          <w:p>
            <w:r>
              <w:rPr>
                <w:sz w:val="18"/>
              </w:rPr>
              <w:t>Elastic Net</w:t>
            </w:r>
          </w:p>
        </w:tc>
        <w:tc>
          <w:tcPr>
            <w:tcW w:type="dxa" w:w="1040"/>
          </w:tcPr>
          <w:p>
            <w:r>
              <w:rPr>
                <w:sz w:val="18"/>
              </w:rPr>
              <w:t>0.5253</w:t>
            </w:r>
          </w:p>
        </w:tc>
        <w:tc>
          <w:tcPr>
            <w:tcW w:type="dxa" w:w="1040"/>
          </w:tcPr>
          <w:p>
            <w:r>
              <w:rPr>
                <w:sz w:val="18"/>
              </w:rPr>
              <w:t>0.5242</w:t>
            </w:r>
          </w:p>
        </w:tc>
        <w:tc>
          <w:tcPr>
            <w:tcW w:type="dxa" w:w="1040"/>
          </w:tcPr>
          <w:p>
            <w:r>
              <w:rPr>
                <w:sz w:val="18"/>
              </w:rPr>
              <w:t>0.6184</w:t>
            </w:r>
          </w:p>
        </w:tc>
        <w:tc>
          <w:tcPr>
            <w:tcW w:type="dxa" w:w="1040"/>
          </w:tcPr>
          <w:p>
            <w:r>
              <w:rPr>
                <w:sz w:val="18"/>
              </w:rPr>
              <w:t>0.8075</w:t>
            </w:r>
          </w:p>
        </w:tc>
        <w:tc>
          <w:tcPr>
            <w:tcW w:type="dxa" w:w="1040"/>
          </w:tcPr>
          <w:p>
            <w:r>
              <w:rPr>
                <w:sz w:val="18"/>
              </w:rPr>
              <w:t>0.5280</w:t>
            </w:r>
          </w:p>
        </w:tc>
        <w:tc>
          <w:tcPr>
            <w:tcW w:type="dxa" w:w="1040"/>
          </w:tcPr>
          <w:p>
            <w:r>
              <w:rPr>
                <w:sz w:val="18"/>
              </w:rPr>
              <w:t>0.0061</w:t>
            </w:r>
          </w:p>
        </w:tc>
        <w:tc>
          <w:tcPr>
            <w:tcW w:type="dxa" w:w="1040"/>
          </w:tcPr>
          <w:p>
            <w:r>
              <w:rPr>
                <w:sz w:val="18"/>
              </w:rPr>
              <w:t>0.04s</w:t>
            </w:r>
          </w:p>
        </w:tc>
      </w:tr>
      <w:tr>
        <w:tc>
          <w:tcPr>
            <w:tcW w:type="dxa" w:w="1040"/>
          </w:tcPr>
          <w:p>
            <w:r>
              <w:rPr>
                <w:sz w:val="18"/>
              </w:rPr>
              <w:t>11</w:t>
            </w:r>
          </w:p>
        </w:tc>
        <w:tc>
          <w:tcPr>
            <w:tcW w:type="dxa" w:w="1040"/>
          </w:tcPr>
          <w:p>
            <w:r>
              <w:rPr>
                <w:sz w:val="18"/>
              </w:rPr>
              <w:t>Lasso Regression</w:t>
            </w:r>
          </w:p>
        </w:tc>
        <w:tc>
          <w:tcPr>
            <w:tcW w:type="dxa" w:w="1040"/>
          </w:tcPr>
          <w:p>
            <w:r>
              <w:rPr>
                <w:sz w:val="18"/>
              </w:rPr>
              <w:t>0.5250</w:t>
            </w:r>
          </w:p>
        </w:tc>
        <w:tc>
          <w:tcPr>
            <w:tcW w:type="dxa" w:w="1040"/>
          </w:tcPr>
          <w:p>
            <w:r>
              <w:rPr>
                <w:sz w:val="18"/>
              </w:rPr>
              <w:t>0.5240</w:t>
            </w:r>
          </w:p>
        </w:tc>
        <w:tc>
          <w:tcPr>
            <w:tcW w:type="dxa" w:w="1040"/>
          </w:tcPr>
          <w:p>
            <w:r>
              <w:rPr>
                <w:sz w:val="18"/>
              </w:rPr>
              <w:t>0.6192</w:t>
            </w:r>
          </w:p>
        </w:tc>
        <w:tc>
          <w:tcPr>
            <w:tcW w:type="dxa" w:w="1040"/>
          </w:tcPr>
          <w:p>
            <w:r>
              <w:rPr>
                <w:sz w:val="18"/>
              </w:rPr>
              <w:t>0.8077</w:t>
            </w:r>
          </w:p>
        </w:tc>
        <w:tc>
          <w:tcPr>
            <w:tcW w:type="dxa" w:w="1040"/>
          </w:tcPr>
          <w:p>
            <w:r>
              <w:rPr>
                <w:sz w:val="18"/>
              </w:rPr>
              <w:t>0.5194</w:t>
            </w:r>
          </w:p>
        </w:tc>
        <w:tc>
          <w:tcPr>
            <w:tcW w:type="dxa" w:w="1040"/>
          </w:tcPr>
          <w:p>
            <w:r>
              <w:rPr>
                <w:sz w:val="18"/>
              </w:rPr>
              <w:t>0.0034</w:t>
            </w:r>
          </w:p>
        </w:tc>
        <w:tc>
          <w:tcPr>
            <w:tcW w:type="dxa" w:w="1040"/>
          </w:tcPr>
          <w:p>
            <w:r>
              <w:rPr>
                <w:sz w:val="18"/>
              </w:rPr>
              <w:t>0.06s</w:t>
            </w:r>
          </w:p>
        </w:tc>
      </w:tr>
      <w:tr>
        <w:tc>
          <w:tcPr>
            <w:tcW w:type="dxa" w:w="1040"/>
          </w:tcPr>
          <w:p>
            <w:r>
              <w:rPr>
                <w:sz w:val="18"/>
              </w:rPr>
              <w:t>12</w:t>
            </w:r>
          </w:p>
        </w:tc>
        <w:tc>
          <w:tcPr>
            <w:tcW w:type="dxa" w:w="1040"/>
          </w:tcPr>
          <w:p>
            <w:r>
              <w:rPr>
                <w:sz w:val="18"/>
              </w:rPr>
              <w:t>Bagging</w:t>
            </w:r>
          </w:p>
        </w:tc>
        <w:tc>
          <w:tcPr>
            <w:tcW w:type="dxa" w:w="1040"/>
          </w:tcPr>
          <w:p>
            <w:r>
              <w:rPr>
                <w:sz w:val="18"/>
              </w:rPr>
              <w:t>0.5138</w:t>
            </w:r>
          </w:p>
        </w:tc>
        <w:tc>
          <w:tcPr>
            <w:tcW w:type="dxa" w:w="1040"/>
          </w:tcPr>
          <w:p>
            <w:r>
              <w:rPr>
                <w:sz w:val="18"/>
              </w:rPr>
              <w:t>0.5522</w:t>
            </w:r>
          </w:p>
        </w:tc>
        <w:tc>
          <w:tcPr>
            <w:tcW w:type="dxa" w:w="1040"/>
          </w:tcPr>
          <w:p>
            <w:r>
              <w:rPr>
                <w:sz w:val="18"/>
              </w:rPr>
              <w:t>0.6136</w:t>
            </w:r>
          </w:p>
        </w:tc>
        <w:tc>
          <w:tcPr>
            <w:tcW w:type="dxa" w:w="1040"/>
          </w:tcPr>
          <w:p>
            <w:r>
              <w:rPr>
                <w:sz w:val="18"/>
              </w:rPr>
              <w:t>0.8172</w:t>
            </w:r>
          </w:p>
        </w:tc>
        <w:tc>
          <w:tcPr>
            <w:tcW w:type="dxa" w:w="1040"/>
          </w:tcPr>
          <w:p>
            <w:r>
              <w:rPr>
                <w:sz w:val="18"/>
              </w:rPr>
              <w:t>0.4706</w:t>
            </w:r>
          </w:p>
        </w:tc>
        <w:tc>
          <w:tcPr>
            <w:tcW w:type="dxa" w:w="1040"/>
          </w:tcPr>
          <w:p>
            <w:r>
              <w:rPr>
                <w:sz w:val="18"/>
              </w:rPr>
              <w:t>0.0082</w:t>
            </w:r>
          </w:p>
        </w:tc>
        <w:tc>
          <w:tcPr>
            <w:tcW w:type="dxa" w:w="1040"/>
          </w:tcPr>
          <w:p>
            <w:r>
              <w:rPr>
                <w:sz w:val="18"/>
              </w:rPr>
              <w:t>2.44s</w:t>
            </w:r>
          </w:p>
        </w:tc>
      </w:tr>
      <w:tr>
        <w:tc>
          <w:tcPr>
            <w:tcW w:type="dxa" w:w="1040"/>
          </w:tcPr>
          <w:p>
            <w:r>
              <w:rPr>
                <w:sz w:val="18"/>
              </w:rPr>
              <w:t>13</w:t>
            </w:r>
          </w:p>
        </w:tc>
        <w:tc>
          <w:tcPr>
            <w:tcW w:type="dxa" w:w="1040"/>
          </w:tcPr>
          <w:p>
            <w:r>
              <w:rPr>
                <w:sz w:val="18"/>
              </w:rPr>
              <w:t>AdaBoost</w:t>
            </w:r>
          </w:p>
        </w:tc>
        <w:tc>
          <w:tcPr>
            <w:tcW w:type="dxa" w:w="1040"/>
          </w:tcPr>
          <w:p>
            <w:r>
              <w:rPr>
                <w:sz w:val="18"/>
              </w:rPr>
              <w:t>0.4703</w:t>
            </w:r>
          </w:p>
        </w:tc>
        <w:tc>
          <w:tcPr>
            <w:tcW w:type="dxa" w:w="1040"/>
          </w:tcPr>
          <w:p>
            <w:r>
              <w:rPr>
                <w:sz w:val="18"/>
              </w:rPr>
              <w:t>0.4697</w:t>
            </w:r>
          </w:p>
        </w:tc>
        <w:tc>
          <w:tcPr>
            <w:tcW w:type="dxa" w:w="1040"/>
          </w:tcPr>
          <w:p>
            <w:r>
              <w:rPr>
                <w:sz w:val="18"/>
              </w:rPr>
              <w:t>0.6945</w:t>
            </w:r>
          </w:p>
        </w:tc>
        <w:tc>
          <w:tcPr>
            <w:tcW w:type="dxa" w:w="1040"/>
          </w:tcPr>
          <w:p>
            <w:r>
              <w:rPr>
                <w:sz w:val="18"/>
              </w:rPr>
              <w:t>0.8530</w:t>
            </w:r>
          </w:p>
        </w:tc>
        <w:tc>
          <w:tcPr>
            <w:tcW w:type="dxa" w:w="1040"/>
          </w:tcPr>
          <w:p>
            <w:r>
              <w:rPr>
                <w:sz w:val="18"/>
              </w:rPr>
              <w:t>0.4727</w:t>
            </w:r>
          </w:p>
        </w:tc>
        <w:tc>
          <w:tcPr>
            <w:tcW w:type="dxa" w:w="1040"/>
          </w:tcPr>
          <w:p>
            <w:r>
              <w:rPr>
                <w:sz w:val="18"/>
              </w:rPr>
              <w:t>0.0093</w:t>
            </w:r>
          </w:p>
        </w:tc>
        <w:tc>
          <w:tcPr>
            <w:tcW w:type="dxa" w:w="1040"/>
          </w:tcPr>
          <w:p>
            <w:r>
              <w:rPr>
                <w:sz w:val="18"/>
              </w:rPr>
              <w:t>2.45s</w:t>
            </w:r>
          </w:p>
        </w:tc>
      </w:tr>
      <w:tr>
        <w:tc>
          <w:tcPr>
            <w:tcW w:type="dxa" w:w="1040"/>
          </w:tcPr>
          <w:p>
            <w:r>
              <w:rPr>
                <w:sz w:val="18"/>
              </w:rPr>
              <w:t>14</w:t>
            </w:r>
          </w:p>
        </w:tc>
        <w:tc>
          <w:tcPr>
            <w:tcW w:type="dxa" w:w="1040"/>
          </w:tcPr>
          <w:p>
            <w:r>
              <w:rPr>
                <w:sz w:val="18"/>
              </w:rPr>
              <w:t>KNN</w:t>
            </w:r>
          </w:p>
        </w:tc>
        <w:tc>
          <w:tcPr>
            <w:tcW w:type="dxa" w:w="1040"/>
          </w:tcPr>
          <w:p>
            <w:r>
              <w:rPr>
                <w:sz w:val="18"/>
              </w:rPr>
              <w:t>0.4689</w:t>
            </w:r>
          </w:p>
        </w:tc>
        <w:tc>
          <w:tcPr>
            <w:tcW w:type="dxa" w:w="1040"/>
          </w:tcPr>
          <w:p>
            <w:r>
              <w:rPr>
                <w:sz w:val="18"/>
              </w:rPr>
              <w:t>0.5512</w:t>
            </w:r>
          </w:p>
        </w:tc>
        <w:tc>
          <w:tcPr>
            <w:tcW w:type="dxa" w:w="1040"/>
          </w:tcPr>
          <w:p>
            <w:r>
              <w:rPr>
                <w:sz w:val="18"/>
              </w:rPr>
              <w:t>0.6425</w:t>
            </w:r>
          </w:p>
        </w:tc>
        <w:tc>
          <w:tcPr>
            <w:tcW w:type="dxa" w:w="1040"/>
          </w:tcPr>
          <w:p>
            <w:r>
              <w:rPr>
                <w:sz w:val="18"/>
              </w:rPr>
              <w:t>0.8540</w:t>
            </w:r>
          </w:p>
        </w:tc>
        <w:tc>
          <w:tcPr>
            <w:tcW w:type="dxa" w:w="1040"/>
          </w:tcPr>
          <w:p>
            <w:r>
              <w:rPr>
                <w:sz w:val="18"/>
              </w:rPr>
              <w:t>0.4657</w:t>
            </w:r>
          </w:p>
        </w:tc>
        <w:tc>
          <w:tcPr>
            <w:tcW w:type="dxa" w:w="1040"/>
          </w:tcPr>
          <w:p>
            <w:r>
              <w:rPr>
                <w:sz w:val="18"/>
              </w:rPr>
              <w:t>0.0064</w:t>
            </w:r>
          </w:p>
        </w:tc>
        <w:tc>
          <w:tcPr>
            <w:tcW w:type="dxa" w:w="1040"/>
          </w:tcPr>
          <w:p>
            <w:r>
              <w:rPr>
                <w:sz w:val="18"/>
              </w:rPr>
              <w:t>0.03s</w:t>
            </w:r>
          </w:p>
        </w:tc>
      </w:tr>
    </w:tbl>
    <w:p/>
    <w:p>
      <w:pPr>
        <w:pStyle w:val="Heading2"/>
      </w:pPr>
      <w:r>
        <w:rPr>
          <w:color w:val="003366"/>
        </w:rPr>
        <w:t>Key Metrics Explained</w:t>
      </w:r>
    </w:p>
    <w:p>
      <w:pPr>
        <w:pStyle w:val="ListBullet"/>
      </w:pPr>
      <w:r>
        <w:rPr>
          <w:b/>
        </w:rPr>
        <w:t xml:space="preserve">R² (Test): </w:t>
      </w:r>
      <w:r>
        <w:t>How much variance in job satisfaction the model explains on unseen data (higher = better, max 1.0)</w:t>
      </w:r>
    </w:p>
    <w:p>
      <w:pPr>
        <w:pStyle w:val="ListBullet"/>
      </w:pPr>
      <w:r>
        <w:rPr>
          <w:b/>
        </w:rPr>
        <w:t xml:space="preserve">MAE: </w:t>
      </w:r>
      <w:r>
        <w:t>Average error in predicted satisfaction score (lower = better, in points on the 1–5 scale)</w:t>
      </w:r>
    </w:p>
    <w:p>
      <w:pPr>
        <w:pStyle w:val="ListBullet"/>
      </w:pPr>
      <w:r>
        <w:rPr>
          <w:b/>
        </w:rPr>
        <w:t xml:space="preserve">RMSE: </w:t>
      </w:r>
      <w:r>
        <w:t>Root mean squared error — penalizes large errors more (lower = better)</w:t>
      </w:r>
    </w:p>
    <w:p>
      <w:pPr>
        <w:pStyle w:val="ListBullet"/>
      </w:pPr>
      <w:r>
        <w:rPr>
          <w:b/>
        </w:rPr>
        <w:t xml:space="preserve">CV R² Mean ± Std: </w:t>
      </w:r>
      <w:r>
        <w:t>Average R² across 5-fold cross-validation — shows how stable the model is across different data splits</w:t>
      </w:r>
    </w:p>
    <w:p>
      <w:r>
        <w:br w:type="page"/>
      </w:r>
    </w:p>
    <w:p>
      <w:pPr>
        <w:pStyle w:val="Heading1"/>
      </w:pPr>
      <w:r>
        <w:rPr>
          <w:color w:val="003366"/>
        </w:rPr>
        <w:t>3. Our Chosen Model: LightGBM</w:t>
      </w:r>
    </w:p>
    <w:p>
      <w:pPr>
        <w:pStyle w:val="Heading2"/>
      </w:pPr>
      <w:r>
        <w:rPr>
          <w:color w:val="003366"/>
        </w:rPr>
        <w:t>Why LightGBM?</w:t>
      </w:r>
    </w:p>
    <w:p>
      <w:r>
        <w:t xml:space="preserve">We tested 14 models and the top 3 (XGBoost, LightGBM, Gradient Boosting) are </w:t>
      </w:r>
      <w:r>
        <w:rPr>
          <w:b/>
        </w:rPr>
        <w:t>statistically identical</w:t>
      </w:r>
      <w:r>
        <w:t xml:space="preserve"> (paired t-test p = 0.944). We selected LightGBM for these reasons: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b/>
                <w:sz w:val="18"/>
              </w:rPr>
              <w:t>Criteria</w:t>
            </w:r>
          </w:p>
        </w:tc>
        <w:tc>
          <w:tcPr>
            <w:tcW w:type="dxa" w:w="3120"/>
          </w:tcPr>
          <w:p>
            <w:pPr>
              <w:jc w:val="center"/>
            </w:pPr>
            <w:r>
              <w:rPr>
                <w:b/>
                <w:sz w:val="18"/>
              </w:rPr>
              <w:t>LightGBM Performance</w:t>
            </w:r>
          </w:p>
        </w:tc>
        <w:tc>
          <w:tcPr>
            <w:tcW w:type="dxa" w:w="3120"/>
          </w:tcPr>
          <w:p>
            <w:pPr>
              <w:jc w:val="center"/>
            </w:pPr>
            <w:r>
              <w:rPr>
                <w:b/>
                <w:sz w:val="18"/>
              </w:rPr>
              <w:t>Assessment</w:t>
            </w:r>
          </w:p>
        </w:tc>
      </w:tr>
      <w:tr>
        <w:tc>
          <w:tcPr>
            <w:tcW w:type="dxa" w:w="3120"/>
          </w:tcPr>
          <w:p>
            <w:r>
              <w:rPr>
                <w:sz w:val="18"/>
              </w:rPr>
              <w:t>Test R²</w:t>
            </w:r>
          </w:p>
        </w:tc>
        <w:tc>
          <w:tcPr>
            <w:tcW w:type="dxa" w:w="3120"/>
          </w:tcPr>
          <w:p>
            <w:r>
              <w:rPr>
                <w:sz w:val="18"/>
              </w:rPr>
              <w:t>0.5322</w:t>
            </w:r>
          </w:p>
        </w:tc>
        <w:tc>
          <w:tcPr>
            <w:tcW w:type="dxa" w:w="3120"/>
          </w:tcPr>
          <w:p>
            <w:r>
              <w:rPr>
                <w:sz w:val="18"/>
              </w:rPr>
              <w:t>Tied best — explains 53.2% of variance</w:t>
            </w:r>
          </w:p>
        </w:tc>
      </w:tr>
      <w:tr>
        <w:tc>
          <w:tcPr>
            <w:tcW w:type="dxa" w:w="3120"/>
          </w:tcPr>
          <w:p>
            <w:r>
              <w:rPr>
                <w:sz w:val="18"/>
              </w:rPr>
              <w:t>MAE</w:t>
            </w:r>
          </w:p>
        </w:tc>
        <w:tc>
          <w:tcPr>
            <w:tcW w:type="dxa" w:w="3120"/>
          </w:tcPr>
          <w:p>
            <w:r>
              <w:rPr>
                <w:sz w:val="18"/>
              </w:rPr>
              <w:t>0.6057</w:t>
            </w:r>
          </w:p>
        </w:tc>
        <w:tc>
          <w:tcPr>
            <w:tcW w:type="dxa" w:w="3120"/>
          </w:tcPr>
          <w:p>
            <w:r>
              <w:rPr>
                <w:sz w:val="18"/>
              </w:rPr>
              <w:t>Excellent — predictions off by ~0.6 points avg</w:t>
            </w:r>
          </w:p>
        </w:tc>
      </w:tr>
      <w:tr>
        <w:tc>
          <w:tcPr>
            <w:tcW w:type="dxa" w:w="3120"/>
          </w:tcPr>
          <w:p>
            <w:r>
              <w:rPr>
                <w:sz w:val="18"/>
              </w:rPr>
              <w:t>RMSE</w:t>
            </w:r>
          </w:p>
        </w:tc>
        <w:tc>
          <w:tcPr>
            <w:tcW w:type="dxa" w:w="3120"/>
          </w:tcPr>
          <w:p>
            <w:r>
              <w:rPr>
                <w:sz w:val="18"/>
              </w:rPr>
              <w:t>0.8015</w:t>
            </w:r>
          </w:p>
        </w:tc>
        <w:tc>
          <w:tcPr>
            <w:tcW w:type="dxa" w:w="3120"/>
          </w:tcPr>
          <w:p>
            <w:r>
              <w:rPr>
                <w:sz w:val="18"/>
              </w:rPr>
              <w:t>Best RMSE of all 14 models</w:t>
            </w:r>
          </w:p>
        </w:tc>
      </w:tr>
      <w:tr>
        <w:tc>
          <w:tcPr>
            <w:tcW w:type="dxa" w:w="3120"/>
          </w:tcPr>
          <w:p>
            <w:r>
              <w:rPr>
                <w:sz w:val="18"/>
              </w:rPr>
              <w:t>CV R² Mean</w:t>
            </w:r>
          </w:p>
        </w:tc>
        <w:tc>
          <w:tcPr>
            <w:tcW w:type="dxa" w:w="3120"/>
          </w:tcPr>
          <w:p>
            <w:r>
              <w:rPr>
                <w:sz w:val="18"/>
              </w:rPr>
              <w:t>0.5243</w:t>
            </w:r>
          </w:p>
        </w:tc>
        <w:tc>
          <w:tcPr>
            <w:tcW w:type="dxa" w:w="3120"/>
          </w:tcPr>
          <w:p>
            <w:r>
              <w:rPr>
                <w:sz w:val="18"/>
              </w:rPr>
              <w:t>Highest CV mean — best generalization</w:t>
            </w:r>
          </w:p>
        </w:tc>
      </w:tr>
      <w:tr>
        <w:tc>
          <w:tcPr>
            <w:tcW w:type="dxa" w:w="3120"/>
          </w:tcPr>
          <w:p>
            <w:r>
              <w:rPr>
                <w:sz w:val="18"/>
              </w:rPr>
              <w:t>CV R² Std</w:t>
            </w:r>
          </w:p>
        </w:tc>
        <w:tc>
          <w:tcPr>
            <w:tcW w:type="dxa" w:w="3120"/>
          </w:tcPr>
          <w:p>
            <w:r>
              <w:rPr>
                <w:sz w:val="18"/>
              </w:rPr>
              <w:t>± 0.0058</w:t>
            </w:r>
          </w:p>
        </w:tc>
        <w:tc>
          <w:tcPr>
            <w:tcW w:type="dxa" w:w="3120"/>
          </w:tcPr>
          <w:p>
            <w:r>
              <w:rPr>
                <w:sz w:val="18"/>
              </w:rPr>
              <w:t>Good stability across folds</w:t>
            </w:r>
          </w:p>
        </w:tc>
      </w:tr>
      <w:tr>
        <w:tc>
          <w:tcPr>
            <w:tcW w:type="dxa" w:w="3120"/>
          </w:tcPr>
          <w:p>
            <w:r>
              <w:rPr>
                <w:sz w:val="18"/>
              </w:rPr>
              <w:t>Train vs Test R²</w:t>
            </w:r>
          </w:p>
        </w:tc>
        <w:tc>
          <w:tcPr>
            <w:tcW w:type="dxa" w:w="3120"/>
          </w:tcPr>
          <w:p>
            <w:r>
              <w:rPr>
                <w:sz w:val="18"/>
              </w:rPr>
              <w:t>0.5337 vs 0.5322</w:t>
            </w:r>
          </w:p>
        </w:tc>
        <w:tc>
          <w:tcPr>
            <w:tcW w:type="dxa" w:w="3120"/>
          </w:tcPr>
          <w:p>
            <w:r>
              <w:rPr>
                <w:sz w:val="18"/>
              </w:rPr>
              <w:t>Minimal gap — no overfitting</w:t>
            </w:r>
          </w:p>
        </w:tc>
      </w:tr>
      <w:tr>
        <w:tc>
          <w:tcPr>
            <w:tcW w:type="dxa" w:w="3120"/>
          </w:tcPr>
          <w:p>
            <w:r>
              <w:rPr>
                <w:sz w:val="18"/>
              </w:rPr>
              <w:t>Training Speed</w:t>
            </w:r>
          </w:p>
        </w:tc>
        <w:tc>
          <w:tcPr>
            <w:tcW w:type="dxa" w:w="3120"/>
          </w:tcPr>
          <w:p>
            <w:r>
              <w:rPr>
                <w:sz w:val="18"/>
              </w:rPr>
              <w:t>0.38 seconds</w:t>
            </w:r>
          </w:p>
        </w:tc>
        <w:tc>
          <w:tcPr>
            <w:tcW w:type="dxa" w:w="3120"/>
          </w:tcPr>
          <w:p>
            <w:r>
              <w:rPr>
                <w:sz w:val="18"/>
              </w:rPr>
              <w:t>Fastest ensemble model (7x faster than XGBoost)</w:t>
            </w:r>
          </w:p>
        </w:tc>
      </w:tr>
    </w:tbl>
    <w:p/>
    <w:p>
      <w:pPr>
        <w:pStyle w:val="Heading2"/>
      </w:pPr>
      <w:r>
        <w:rPr>
          <w:color w:val="003366"/>
        </w:rPr>
        <w:t>What does R² = 0.53 mean in plain English?</w:t>
      </w:r>
    </w:p>
    <w:p>
      <w:r>
        <w:t xml:space="preserve">Our model explains </w:t>
      </w:r>
      <w:r>
        <w:rPr>
          <w:b/>
        </w:rPr>
        <w:t>53% of the variation</w:t>
      </w:r>
      <w:r>
        <w:t xml:space="preserve"> in how satisfied federal employees are with their jobs, using just 7 features. The other 47% comes from factors we don't have data on (e.g., pay, manager quality, office culture, personal factors). For social science survey data with ordinal Likert-scale responses, this is a </w:t>
      </w:r>
      <w:r>
        <w:rPr>
          <w:b/>
        </w:rPr>
        <w:t>strong result</w:t>
      </w:r>
      <w:r>
        <w:t>.</w:t>
      </w:r>
    </w:p>
    <w:p>
      <w:pPr>
        <w:pStyle w:val="Heading2"/>
      </w:pPr>
      <w:r>
        <w:rPr>
          <w:color w:val="003366"/>
        </w:rPr>
        <w:t>LightGBM Configuration</w:t>
      </w:r>
    </w:p>
    <w:p>
      <w:r>
        <w:t>Default parameters were optimal. Hyperparameter tuning across 20 configurations showed the defaults were already near-optimal (tuned R² = 0.5296 — slightly lower, confirming defaults are fine).</w:t>
      </w:r>
    </w:p>
    <w:p/>
    <w:p>
      <w:pPr>
        <w:pStyle w:val="ListBullet"/>
      </w:pPr>
      <w:r>
        <w:rPr>
          <w:rFonts w:ascii="Consolas" w:hAnsi="Consolas"/>
          <w:sz w:val="20"/>
        </w:rPr>
        <w:t>n_estimators = 100</w:t>
      </w:r>
    </w:p>
    <w:p>
      <w:pPr>
        <w:pStyle w:val="ListBullet"/>
      </w:pPr>
      <w:r>
        <w:rPr>
          <w:rFonts w:ascii="Consolas" w:hAnsi="Consolas"/>
          <w:sz w:val="20"/>
        </w:rPr>
        <w:t>max_depth = 5</w:t>
      </w:r>
    </w:p>
    <w:p>
      <w:pPr>
        <w:pStyle w:val="ListBullet"/>
      </w:pPr>
      <w:r>
        <w:rPr>
          <w:rFonts w:ascii="Consolas" w:hAnsi="Consolas"/>
          <w:sz w:val="20"/>
        </w:rPr>
        <w:t>learning_rate = 0.1</w:t>
      </w:r>
    </w:p>
    <w:p>
      <w:pPr>
        <w:pStyle w:val="ListBullet"/>
      </w:pPr>
      <w:r>
        <w:rPr>
          <w:rFonts w:ascii="Consolas" w:hAnsi="Consolas"/>
          <w:sz w:val="20"/>
        </w:rPr>
        <w:t>random_state = 42</w:t>
      </w:r>
    </w:p>
    <w:p>
      <w:pPr>
        <w:pStyle w:val="ListBullet"/>
      </w:pPr>
      <w:r>
        <w:rPr>
          <w:rFonts w:ascii="Consolas" w:hAnsi="Consolas"/>
          <w:sz w:val="20"/>
        </w:rPr>
        <w:t>verbose = -1</w:t>
      </w:r>
    </w:p>
    <w:p>
      <w:r>
        <w:br w:type="page"/>
      </w:r>
    </w:p>
    <w:p>
      <w:pPr>
        <w:pStyle w:val="Heading1"/>
      </w:pPr>
      <w:r>
        <w:rPr>
          <w:color w:val="003366"/>
        </w:rPr>
        <w:t>4. Feature Importance — What Drives Job Satisfaction?</w:t>
      </w:r>
    </w:p>
    <w:p>
      <w:r>
        <w:t xml:space="preserve">This is the </w:t>
      </w:r>
      <w:r>
        <w:rPr>
          <w:b/>
        </w:rPr>
        <w:t>most important finding for our capstone</w:t>
      </w:r>
      <w:r>
        <w: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b/>
                <w:sz w:val="18"/>
              </w:rPr>
              <w:t>Feature</w:t>
            </w:r>
          </w:p>
        </w:tc>
        <w:tc>
          <w:tcPr>
            <w:tcW w:type="dxa" w:w="3120"/>
          </w:tcPr>
          <w:p>
            <w:pPr>
              <w:jc w:val="center"/>
            </w:pPr>
            <w:r>
              <w:rPr>
                <w:b/>
                <w:sz w:val="18"/>
              </w:rPr>
              <w:t>Importance</w:t>
            </w:r>
          </w:p>
        </w:tc>
        <w:tc>
          <w:tcPr>
            <w:tcW w:type="dxa" w:w="3120"/>
          </w:tcPr>
          <w:p>
            <w:pPr>
              <w:jc w:val="center"/>
            </w:pPr>
            <w:r>
              <w:rPr>
                <w:b/>
                <w:sz w:val="18"/>
              </w:rPr>
              <w:t>Interpretation</w:t>
            </w:r>
          </w:p>
        </w:tc>
      </w:tr>
      <w:tr>
        <w:tc>
          <w:tcPr>
            <w:tcW w:type="dxa" w:w="3120"/>
          </w:tcPr>
          <w:p>
            <w:r>
              <w:rPr>
                <w:sz w:val="18"/>
              </w:rPr>
              <w:t>EEI — Employee Engagement</w:t>
            </w:r>
          </w:p>
        </w:tc>
        <w:tc>
          <w:tcPr>
            <w:tcW w:type="dxa" w:w="3120"/>
          </w:tcPr>
          <w:p>
            <w:r>
              <w:rPr>
                <w:sz w:val="18"/>
              </w:rPr>
              <w:t>34.4%</w:t>
            </w:r>
          </w:p>
        </w:tc>
        <w:tc>
          <w:tcPr>
            <w:tcW w:type="dxa" w:w="3120"/>
          </w:tcPr>
          <w:p>
            <w:r>
              <w:rPr>
                <w:sz w:val="18"/>
              </w:rPr>
              <w:t>Strongest driver. Feeling valued, having purpose, seeing results.</w:t>
            </w:r>
          </w:p>
        </w:tc>
      </w:tr>
      <w:tr>
        <w:tc>
          <w:tcPr>
            <w:tcW w:type="dxa" w:w="3120"/>
          </w:tcPr>
          <w:p>
            <w:r>
              <w:rPr>
                <w:sz w:val="18"/>
              </w:rPr>
              <w:t>Q61 — Telework Frequency</w:t>
            </w:r>
          </w:p>
        </w:tc>
        <w:tc>
          <w:tcPr>
            <w:tcW w:type="dxa" w:w="3120"/>
          </w:tcPr>
          <w:p>
            <w:r>
              <w:rPr>
                <w:sz w:val="18"/>
              </w:rPr>
              <w:t>21.2%</w:t>
            </w:r>
          </w:p>
        </w:tc>
        <w:tc>
          <w:tcPr>
            <w:tcW w:type="dxa" w:w="3120"/>
          </w:tcPr>
          <w:p>
            <w:r>
              <w:rPr>
                <w:sz w:val="18"/>
              </w:rPr>
              <w:t>2nd strongest. More telework → more satisfaction.</w:t>
            </w:r>
          </w:p>
        </w:tc>
      </w:tr>
      <w:tr>
        <w:tc>
          <w:tcPr>
            <w:tcW w:type="dxa" w:w="3120"/>
          </w:tcPr>
          <w:p>
            <w:r>
              <w:rPr>
                <w:sz w:val="18"/>
              </w:rPr>
              <w:t>Q64 — Work-Life Balance</w:t>
            </w:r>
          </w:p>
        </w:tc>
        <w:tc>
          <w:tcPr>
            <w:tcW w:type="dxa" w:w="3120"/>
          </w:tcPr>
          <w:p>
            <w:r>
              <w:rPr>
                <w:sz w:val="18"/>
              </w:rPr>
              <w:t>18.9%</w:t>
            </w:r>
          </w:p>
        </w:tc>
        <w:tc>
          <w:tcPr>
            <w:tcW w:type="dxa" w:w="3120"/>
          </w:tcPr>
          <w:p>
            <w:r>
              <w:rPr>
                <w:sz w:val="18"/>
              </w:rPr>
              <w:t>3rd strongest. WLB satisfaction drives overall satisfaction.</w:t>
            </w:r>
          </w:p>
        </w:tc>
      </w:tr>
      <w:tr>
        <w:tc>
          <w:tcPr>
            <w:tcW w:type="dxa" w:w="3120"/>
          </w:tcPr>
          <w:p>
            <w:r>
              <w:rPr>
                <w:sz w:val="18"/>
              </w:rPr>
              <w:t>DFEDTEN — Federal Tenure</w:t>
            </w:r>
          </w:p>
        </w:tc>
        <w:tc>
          <w:tcPr>
            <w:tcW w:type="dxa" w:w="3120"/>
          </w:tcPr>
          <w:p>
            <w:r>
              <w:rPr>
                <w:sz w:val="18"/>
              </w:rPr>
              <w:t>10.4%</w:t>
            </w:r>
          </w:p>
        </w:tc>
        <w:tc>
          <w:tcPr>
            <w:tcW w:type="dxa" w:w="3120"/>
          </w:tcPr>
          <w:p>
            <w:r>
              <w:rPr>
                <w:sz w:val="18"/>
              </w:rPr>
              <w:t>Some contribution — tenure shows different patterns.</w:t>
            </w:r>
          </w:p>
        </w:tc>
      </w:tr>
      <w:tr>
        <w:tc>
          <w:tcPr>
            <w:tcW w:type="dxa" w:w="3120"/>
          </w:tcPr>
          <w:p>
            <w:r>
              <w:rPr>
                <w:sz w:val="18"/>
              </w:rPr>
              <w:t>DSUPER — Supervisory Status</w:t>
            </w:r>
          </w:p>
        </w:tc>
        <w:tc>
          <w:tcPr>
            <w:tcW w:type="dxa" w:w="3120"/>
          </w:tcPr>
          <w:p>
            <w:r>
              <w:rPr>
                <w:sz w:val="18"/>
              </w:rPr>
              <w:t>5.8%</w:t>
            </w:r>
          </w:p>
        </w:tc>
        <w:tc>
          <w:tcPr>
            <w:tcW w:type="dxa" w:w="3120"/>
          </w:tcPr>
          <w:p>
            <w:r>
              <w:rPr>
                <w:sz w:val="18"/>
              </w:rPr>
              <w:t>Minor contribution.</w:t>
            </w:r>
          </w:p>
        </w:tc>
      </w:tr>
      <w:tr>
        <w:tc>
          <w:tcPr>
            <w:tcW w:type="dxa" w:w="3120"/>
          </w:tcPr>
          <w:p>
            <w:r>
              <w:rPr>
                <w:sz w:val="18"/>
              </w:rPr>
              <w:t>DSEX — Gender</w:t>
            </w:r>
          </w:p>
        </w:tc>
        <w:tc>
          <w:tcPr>
            <w:tcW w:type="dxa" w:w="3120"/>
          </w:tcPr>
          <w:p>
            <w:r>
              <w:rPr>
                <w:sz w:val="18"/>
              </w:rPr>
              <w:t>4.9%</w:t>
            </w:r>
          </w:p>
        </w:tc>
        <w:tc>
          <w:tcPr>
            <w:tcW w:type="dxa" w:w="3120"/>
          </w:tcPr>
          <w:p>
            <w:r>
              <w:rPr>
                <w:sz w:val="18"/>
              </w:rPr>
              <w:t>Minor contribution.</w:t>
            </w:r>
          </w:p>
        </w:tc>
      </w:tr>
      <w:tr>
        <w:tc>
          <w:tcPr>
            <w:tcW w:type="dxa" w:w="3120"/>
          </w:tcPr>
          <w:p>
            <w:r>
              <w:rPr>
                <w:sz w:val="18"/>
              </w:rPr>
              <w:t>DAGEGRP — Age Group</w:t>
            </w:r>
          </w:p>
        </w:tc>
        <w:tc>
          <w:tcPr>
            <w:tcW w:type="dxa" w:w="3120"/>
          </w:tcPr>
          <w:p>
            <w:r>
              <w:rPr>
                <w:sz w:val="18"/>
              </w:rPr>
              <w:t>4.5%</w:t>
            </w:r>
          </w:p>
        </w:tc>
        <w:tc>
          <w:tcPr>
            <w:tcW w:type="dxa" w:w="3120"/>
          </w:tcPr>
          <w:p>
            <w:r>
              <w:rPr>
                <w:sz w:val="18"/>
              </w:rPr>
              <w:t>Minor contribution.</w:t>
            </w:r>
          </w:p>
        </w:tc>
      </w:tr>
    </w:tbl>
    <w:p/>
    <w:p>
      <w:pPr>
        <w:pStyle w:val="Heading2"/>
      </w:pPr>
      <w:r>
        <w:rPr>
          <w:color w:val="003366"/>
        </w:rPr>
        <w:t>Key Takeaway</w:t>
      </w:r>
    </w:p>
    <w:p>
      <w:pPr>
        <w:ind w:left="567" w:right="567"/>
      </w:pPr>
      <w:r>
        <w:rPr>
          <w:b/>
          <w:color w:val="003366"/>
        </w:rPr>
        <w:t xml:space="preserve">The three workplace experience variables (engagement, telework, work-life balance) account for 74.5% of LightGBM’s predictive power, while demographics account for 25.5%. </w:t>
      </w:r>
      <w:r>
        <w:t>This indicates that job satisfaction in the federal workforce is driven primarily by how employees experience their work — their engagement, telework flexibility, and work-life balance — rather than individual demographic characteristics.</w:t>
      </w:r>
    </w:p>
    <w:p/>
    <w:p>
      <w:pPr>
        <w:pStyle w:val="Heading2"/>
      </w:pPr>
      <w:r>
        <w:rPr>
          <w:color w:val="003366"/>
        </w:rPr>
        <w:t>Average Importance Across All Top 5 Models</w:t>
      </w:r>
    </w:p>
    <w:p>
      <w:r>
        <w:t>Even across different model types, the pattern is consistent:</w:t>
      </w:r>
    </w:p>
    <w:p>
      <w:pPr>
        <w:pStyle w:val="ListBullet"/>
      </w:pPr>
      <w:r>
        <w:rPr>
          <w:b/>
        </w:rPr>
        <w:t xml:space="preserve">EEI: </w:t>
      </w:r>
      <w:r>
        <w:t>44.1% average</w:t>
      </w:r>
    </w:p>
    <w:p>
      <w:pPr>
        <w:pStyle w:val="ListBullet"/>
      </w:pPr>
      <w:r>
        <w:rPr>
          <w:b/>
        </w:rPr>
        <w:t xml:space="preserve">Q64 (WLB): </w:t>
      </w:r>
      <w:r>
        <w:t>33.8% average</w:t>
      </w:r>
    </w:p>
    <w:p>
      <w:pPr>
        <w:pStyle w:val="ListBullet"/>
      </w:pPr>
      <w:r>
        <w:rPr>
          <w:b/>
        </w:rPr>
        <w:t xml:space="preserve">Q61 (Telework): </w:t>
      </w:r>
      <w:r>
        <w:t>16.4% average</w:t>
      </w:r>
    </w:p>
    <w:p>
      <w:pPr>
        <w:pStyle w:val="ListBullet"/>
      </w:pPr>
      <w:r>
        <w:rPr>
          <w:b/>
        </w:rPr>
        <w:t xml:space="preserve">All demographics combined: </w:t>
      </w:r>
      <w:r>
        <w:t>&lt; 6% average</w:t>
      </w:r>
    </w:p>
    <w:p>
      <w:r>
        <w:br w:type="page"/>
      </w:r>
    </w:p>
    <w:p>
      <w:pPr>
        <w:pStyle w:val="Heading1"/>
      </w:pPr>
      <w:r>
        <w:rPr>
          <w:color w:val="003366"/>
        </w:rPr>
        <w:t>5. Statistical Significance Tests</w:t>
      </w:r>
    </w:p>
    <w:p>
      <w:r>
        <w:t>We ran paired t-tests to check if the top models are truly different or just noise: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b/>
                <w:sz w:val="18"/>
              </w:rPr>
              <w:t>Comparison</w:t>
            </w:r>
          </w:p>
        </w:tc>
        <w:tc>
          <w:tcPr>
            <w:tcW w:type="dxa" w:w="3120"/>
          </w:tcPr>
          <w:p>
            <w:pPr>
              <w:jc w:val="center"/>
            </w:pPr>
            <w:r>
              <w:rPr>
                <w:b/>
                <w:sz w:val="18"/>
              </w:rPr>
              <w:t>p-value</w:t>
            </w:r>
          </w:p>
        </w:tc>
        <w:tc>
          <w:tcPr>
            <w:tcW w:type="dxa" w:w="3120"/>
          </w:tcPr>
          <w:p>
            <w:pPr>
              <w:jc w:val="center"/>
            </w:pPr>
            <w:r>
              <w:rPr>
                <w:b/>
                <w:sz w:val="18"/>
              </w:rPr>
              <w:t>Significant?</w:t>
            </w:r>
          </w:p>
        </w:tc>
      </w:tr>
      <w:tr>
        <w:tc>
          <w:tcPr>
            <w:tcW w:type="dxa" w:w="3120"/>
          </w:tcPr>
          <w:p>
            <w:r>
              <w:rPr>
                <w:sz w:val="18"/>
              </w:rPr>
              <w:t>XGBoost vs LightGBM</w:t>
            </w:r>
          </w:p>
        </w:tc>
        <w:tc>
          <w:tcPr>
            <w:tcW w:type="dxa" w:w="3120"/>
          </w:tcPr>
          <w:p>
            <w:r>
              <w:rPr>
                <w:sz w:val="18"/>
              </w:rPr>
              <w:t>0.944</w:t>
            </w:r>
          </w:p>
        </w:tc>
        <w:tc>
          <w:tcPr>
            <w:tcW w:type="dxa" w:w="3120"/>
          </w:tcPr>
          <w:p>
            <w:r>
              <w:rPr>
                <w:sz w:val="18"/>
              </w:rPr>
              <w:t>No — essentially identical</w:t>
            </w:r>
          </w:p>
        </w:tc>
      </w:tr>
      <w:tr>
        <w:tc>
          <w:tcPr>
            <w:tcW w:type="dxa" w:w="3120"/>
          </w:tcPr>
          <w:p>
            <w:r>
              <w:rPr>
                <w:sz w:val="18"/>
              </w:rPr>
              <w:t>XGBoost vs Gradient Boosting</w:t>
            </w:r>
          </w:p>
        </w:tc>
        <w:tc>
          <w:tcPr>
            <w:tcW w:type="dxa" w:w="3120"/>
          </w:tcPr>
          <w:p>
            <w:r>
              <w:rPr>
                <w:sz w:val="18"/>
              </w:rPr>
              <w:t>0.968</w:t>
            </w:r>
          </w:p>
        </w:tc>
        <w:tc>
          <w:tcPr>
            <w:tcW w:type="dxa" w:w="3120"/>
          </w:tcPr>
          <w:p>
            <w:r>
              <w:rPr>
                <w:sz w:val="18"/>
              </w:rPr>
              <w:t>No — essentially identical</w:t>
            </w:r>
          </w:p>
        </w:tc>
      </w:tr>
      <w:tr>
        <w:tc>
          <w:tcPr>
            <w:tcW w:type="dxa" w:w="3120"/>
          </w:tcPr>
          <w:p>
            <w:r>
              <w:rPr>
                <w:sz w:val="18"/>
              </w:rPr>
              <w:t>XGBoost vs Extra Trees</w:t>
            </w:r>
          </w:p>
        </w:tc>
        <w:tc>
          <w:tcPr>
            <w:tcW w:type="dxa" w:w="3120"/>
          </w:tcPr>
          <w:p>
            <w:r>
              <w:rPr>
                <w:sz w:val="18"/>
              </w:rPr>
              <w:t>0.874</w:t>
            </w:r>
          </w:p>
        </w:tc>
        <w:tc>
          <w:tcPr>
            <w:tcW w:type="dxa" w:w="3120"/>
          </w:tcPr>
          <w:p>
            <w:r>
              <w:rPr>
                <w:sz w:val="18"/>
              </w:rPr>
              <w:t>No</w:t>
            </w:r>
          </w:p>
        </w:tc>
      </w:tr>
      <w:tr>
        <w:tc>
          <w:tcPr>
            <w:tcW w:type="dxa" w:w="3120"/>
          </w:tcPr>
          <w:p>
            <w:r>
              <w:rPr>
                <w:sz w:val="18"/>
              </w:rPr>
              <w:t>XGBoost vs Random Forest</w:t>
            </w:r>
          </w:p>
        </w:tc>
        <w:tc>
          <w:tcPr>
            <w:tcW w:type="dxa" w:w="3120"/>
          </w:tcPr>
          <w:p>
            <w:r>
              <w:rPr>
                <w:sz w:val="18"/>
              </w:rPr>
              <w:t>0.027</w:t>
            </w:r>
          </w:p>
        </w:tc>
        <w:tc>
          <w:tcPr>
            <w:tcW w:type="dxa" w:w="3120"/>
          </w:tcPr>
          <w:p>
            <w:r>
              <w:rPr>
                <w:sz w:val="18"/>
              </w:rPr>
              <w:t>Yes — XGBoost significantly better in CV</w:t>
            </w:r>
          </w:p>
        </w:tc>
      </w:tr>
      <w:tr>
        <w:tc>
          <w:tcPr>
            <w:tcW w:type="dxa" w:w="3120"/>
          </w:tcPr>
          <w:p>
            <w:r>
              <w:rPr>
                <w:sz w:val="18"/>
              </w:rPr>
              <w:t>LightGBM vs Gradient Boosting</w:t>
            </w:r>
          </w:p>
        </w:tc>
        <w:tc>
          <w:tcPr>
            <w:tcW w:type="dxa" w:w="3120"/>
          </w:tcPr>
          <w:p>
            <w:r>
              <w:rPr>
                <w:sz w:val="18"/>
              </w:rPr>
              <w:t>0.953</w:t>
            </w:r>
          </w:p>
        </w:tc>
        <w:tc>
          <w:tcPr>
            <w:tcW w:type="dxa" w:w="3120"/>
          </w:tcPr>
          <w:p>
            <w:r>
              <w:rPr>
                <w:sz w:val="18"/>
              </w:rPr>
              <w:t>No</w:t>
            </w:r>
          </w:p>
        </w:tc>
      </w:tr>
      <w:tr>
        <w:tc>
          <w:tcPr>
            <w:tcW w:type="dxa" w:w="3120"/>
          </w:tcPr>
          <w:p>
            <w:r>
              <w:rPr>
                <w:sz w:val="18"/>
              </w:rPr>
              <w:t>LightGBM vs Extra Trees</w:t>
            </w:r>
          </w:p>
        </w:tc>
        <w:tc>
          <w:tcPr>
            <w:tcW w:type="dxa" w:w="3120"/>
          </w:tcPr>
          <w:p>
            <w:r>
              <w:rPr>
                <w:sz w:val="18"/>
              </w:rPr>
              <w:t>0.825</w:t>
            </w:r>
          </w:p>
        </w:tc>
        <w:tc>
          <w:tcPr>
            <w:tcW w:type="dxa" w:w="3120"/>
          </w:tcPr>
          <w:p>
            <w:r>
              <w:rPr>
                <w:sz w:val="18"/>
              </w:rPr>
              <w:t>No</w:t>
            </w:r>
          </w:p>
        </w:tc>
      </w:tr>
      <w:tr>
        <w:tc>
          <w:tcPr>
            <w:tcW w:type="dxa" w:w="3120"/>
          </w:tcPr>
          <w:p>
            <w:r>
              <w:rPr>
                <w:sz w:val="18"/>
              </w:rPr>
              <w:t>LightGBM vs Random Forest</w:t>
            </w:r>
          </w:p>
        </w:tc>
        <w:tc>
          <w:tcPr>
            <w:tcW w:type="dxa" w:w="3120"/>
          </w:tcPr>
          <w:p>
            <w:r>
              <w:rPr>
                <w:sz w:val="18"/>
              </w:rPr>
              <w:t>0.080</w:t>
            </w:r>
          </w:p>
        </w:tc>
        <w:tc>
          <w:tcPr>
            <w:tcW w:type="dxa" w:w="3120"/>
          </w:tcPr>
          <w:p>
            <w:r>
              <w:rPr>
                <w:sz w:val="18"/>
              </w:rPr>
              <w:t>No (borderline)</w:t>
            </w:r>
          </w:p>
        </w:tc>
      </w:tr>
    </w:tbl>
    <w:p/>
    <w:p>
      <w:r>
        <w:rPr>
          <w:b/>
        </w:rPr>
        <w:t xml:space="preserve">Bottom line: </w:t>
      </w:r>
      <w:r>
        <w:t>The top 3 models (XGBoost, LightGBM, Gradient Boosting) perform statistically the same. LightGBM is chosen for its best RMSE, highest CV mean, and fastest training speed.</w:t>
      </w:r>
    </w:p>
    <w:p>
      <w:pPr>
        <w:pStyle w:val="Heading1"/>
      </w:pPr>
      <w:r>
        <w:rPr>
          <w:color w:val="003366"/>
        </w:rPr>
        <w:t>6. Correlation Matrix Findings</w:t>
      </w:r>
    </w:p>
    <w:p>
      <w:r>
        <w:t>Bivariate correlations between features and job satisfaction (Q69):</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b/>
                <w:sz w:val="18"/>
              </w:rPr>
              <w:t>Feature</w:t>
            </w:r>
          </w:p>
        </w:tc>
        <w:tc>
          <w:tcPr>
            <w:tcW w:type="dxa" w:w="3120"/>
          </w:tcPr>
          <w:p>
            <w:pPr>
              <w:jc w:val="center"/>
            </w:pPr>
            <w:r>
              <w:rPr>
                <w:b/>
                <w:sz w:val="18"/>
              </w:rPr>
              <w:t>Correlation with Q69</w:t>
            </w:r>
          </w:p>
        </w:tc>
        <w:tc>
          <w:tcPr>
            <w:tcW w:type="dxa" w:w="3120"/>
          </w:tcPr>
          <w:p>
            <w:pPr>
              <w:jc w:val="center"/>
            </w:pPr>
            <w:r>
              <w:rPr>
                <w:b/>
                <w:sz w:val="18"/>
              </w:rPr>
              <w:t>Strength</w:t>
            </w:r>
          </w:p>
        </w:tc>
      </w:tr>
      <w:tr>
        <w:tc>
          <w:tcPr>
            <w:tcW w:type="dxa" w:w="3120"/>
          </w:tcPr>
          <w:p>
            <w:r>
              <w:rPr>
                <w:sz w:val="18"/>
              </w:rPr>
              <w:t>EEI (Engagement)</w:t>
            </w:r>
          </w:p>
        </w:tc>
        <w:tc>
          <w:tcPr>
            <w:tcW w:type="dxa" w:w="3120"/>
          </w:tcPr>
          <w:p>
            <w:r>
              <w:rPr>
                <w:sz w:val="18"/>
              </w:rPr>
              <w:t>0.647</w:t>
            </w:r>
          </w:p>
        </w:tc>
        <w:tc>
          <w:tcPr>
            <w:tcW w:type="dxa" w:w="3120"/>
          </w:tcPr>
          <w:p>
            <w:r>
              <w:rPr>
                <w:sz w:val="18"/>
              </w:rPr>
              <w:t>Strong positive</w:t>
            </w:r>
          </w:p>
        </w:tc>
      </w:tr>
      <w:tr>
        <w:tc>
          <w:tcPr>
            <w:tcW w:type="dxa" w:w="3120"/>
          </w:tcPr>
          <w:p>
            <w:r>
              <w:rPr>
                <w:sz w:val="18"/>
              </w:rPr>
              <w:t>Q64 (Work-Life Balance)</w:t>
            </w:r>
          </w:p>
        </w:tc>
        <w:tc>
          <w:tcPr>
            <w:tcW w:type="dxa" w:w="3120"/>
          </w:tcPr>
          <w:p>
            <w:r>
              <w:rPr>
                <w:sz w:val="18"/>
              </w:rPr>
              <w:t>0.634</w:t>
            </w:r>
          </w:p>
        </w:tc>
        <w:tc>
          <w:tcPr>
            <w:tcW w:type="dxa" w:w="3120"/>
          </w:tcPr>
          <w:p>
            <w:r>
              <w:rPr>
                <w:sz w:val="18"/>
              </w:rPr>
              <w:t>Strong positive</w:t>
            </w:r>
          </w:p>
        </w:tc>
      </w:tr>
      <w:tr>
        <w:tc>
          <w:tcPr>
            <w:tcW w:type="dxa" w:w="3120"/>
          </w:tcPr>
          <w:p>
            <w:r>
              <w:rPr>
                <w:sz w:val="18"/>
              </w:rPr>
              <w:t>Q61 (Telework)</w:t>
            </w:r>
          </w:p>
        </w:tc>
        <w:tc>
          <w:tcPr>
            <w:tcW w:type="dxa" w:w="3120"/>
          </w:tcPr>
          <w:p>
            <w:r>
              <w:rPr>
                <w:sz w:val="18"/>
              </w:rPr>
              <w:t>0.603</w:t>
            </w:r>
          </w:p>
        </w:tc>
        <w:tc>
          <w:tcPr>
            <w:tcW w:type="dxa" w:w="3120"/>
          </w:tcPr>
          <w:p>
            <w:r>
              <w:rPr>
                <w:sz w:val="18"/>
              </w:rPr>
              <w:t>Strong positive</w:t>
            </w:r>
          </w:p>
        </w:tc>
      </w:tr>
      <w:tr>
        <w:tc>
          <w:tcPr>
            <w:tcW w:type="dxa" w:w="3120"/>
          </w:tcPr>
          <w:p>
            <w:r>
              <w:rPr>
                <w:sz w:val="18"/>
              </w:rPr>
              <w:t>DSUPER (Supervisor)</w:t>
            </w:r>
          </w:p>
        </w:tc>
        <w:tc>
          <w:tcPr>
            <w:tcW w:type="dxa" w:w="3120"/>
          </w:tcPr>
          <w:p>
            <w:r>
              <w:rPr>
                <w:sz w:val="18"/>
              </w:rPr>
              <w:t>0.058</w:t>
            </w:r>
          </w:p>
        </w:tc>
        <w:tc>
          <w:tcPr>
            <w:tcW w:type="dxa" w:w="3120"/>
          </w:tcPr>
          <w:p>
            <w:r>
              <w:rPr>
                <w:sz w:val="18"/>
              </w:rPr>
              <w:t>Negligible</w:t>
            </w:r>
          </w:p>
        </w:tc>
      </w:tr>
      <w:tr>
        <w:tc>
          <w:tcPr>
            <w:tcW w:type="dxa" w:w="3120"/>
          </w:tcPr>
          <w:p>
            <w:r>
              <w:rPr>
                <w:sz w:val="18"/>
              </w:rPr>
              <w:t>DAGEGRP (Age)</w:t>
            </w:r>
          </w:p>
        </w:tc>
        <w:tc>
          <w:tcPr>
            <w:tcW w:type="dxa" w:w="3120"/>
          </w:tcPr>
          <w:p>
            <w:r>
              <w:rPr>
                <w:sz w:val="18"/>
              </w:rPr>
              <w:t>0.047</w:t>
            </w:r>
          </w:p>
        </w:tc>
        <w:tc>
          <w:tcPr>
            <w:tcW w:type="dxa" w:w="3120"/>
          </w:tcPr>
          <w:p>
            <w:r>
              <w:rPr>
                <w:sz w:val="18"/>
              </w:rPr>
              <w:t>Negligible</w:t>
            </w:r>
          </w:p>
        </w:tc>
      </w:tr>
      <w:tr>
        <w:tc>
          <w:tcPr>
            <w:tcW w:type="dxa" w:w="3120"/>
          </w:tcPr>
          <w:p>
            <w:r>
              <w:rPr>
                <w:sz w:val="18"/>
              </w:rPr>
              <w:t>DFEDTEN (Tenure)</w:t>
            </w:r>
          </w:p>
        </w:tc>
        <w:tc>
          <w:tcPr>
            <w:tcW w:type="dxa" w:w="3120"/>
          </w:tcPr>
          <w:p>
            <w:r>
              <w:rPr>
                <w:sz w:val="18"/>
              </w:rPr>
              <w:t>0.016</w:t>
            </w:r>
          </w:p>
        </w:tc>
        <w:tc>
          <w:tcPr>
            <w:tcW w:type="dxa" w:w="3120"/>
          </w:tcPr>
          <w:p>
            <w:r>
              <w:rPr>
                <w:sz w:val="18"/>
              </w:rPr>
              <w:t>Negligible</w:t>
            </w:r>
          </w:p>
        </w:tc>
      </w:tr>
      <w:tr>
        <w:tc>
          <w:tcPr>
            <w:tcW w:type="dxa" w:w="3120"/>
          </w:tcPr>
          <w:p>
            <w:r>
              <w:rPr>
                <w:sz w:val="18"/>
              </w:rPr>
              <w:t>DSEX (Gender)</w:t>
            </w:r>
          </w:p>
        </w:tc>
        <w:tc>
          <w:tcPr>
            <w:tcW w:type="dxa" w:w="3120"/>
          </w:tcPr>
          <w:p>
            <w:r>
              <w:rPr>
                <w:sz w:val="18"/>
              </w:rPr>
              <w:t>-0.011</w:t>
            </w:r>
          </w:p>
        </w:tc>
        <w:tc>
          <w:tcPr>
            <w:tcW w:type="dxa" w:w="3120"/>
          </w:tcPr>
          <w:p>
            <w:r>
              <w:rPr>
                <w:sz w:val="18"/>
              </w:rPr>
              <w:t>Negligible</w:t>
            </w:r>
          </w:p>
        </w:tc>
      </w:tr>
    </w:tbl>
    <w:p/>
    <w:p>
      <w:r>
        <w:rPr>
          <w:i/>
        </w:rPr>
        <w:t xml:space="preserve">Note: </w:t>
      </w:r>
      <w:r>
        <w:t>Q61, Q64, and EEI are also correlated with each other (r = 0.59–0.68), which is expected since engaged employees with telework also tend to report better WLB.</w:t>
      </w:r>
    </w:p>
    <w:p>
      <w:r>
        <w:br w:type="page"/>
      </w:r>
    </w:p>
    <w:p>
      <w:pPr>
        <w:pStyle w:val="Heading1"/>
      </w:pPr>
      <w:r>
        <w:rPr>
          <w:color w:val="003366"/>
        </w:rPr>
        <w:t>7. How to Proceed — Next Steps</w:t>
      </w:r>
    </w:p>
    <w:p>
      <w:pPr>
        <w:pStyle w:val="Heading2"/>
      </w:pPr>
      <w:r>
        <w:rPr>
          <w:color w:val="003366"/>
        </w:rPr>
        <w:t>For Module 5 (Final Model &amp; Report)</w:t>
      </w:r>
    </w:p>
    <w:p>
      <w:pPr>
        <w:pStyle w:val="ListNumber"/>
      </w:pPr>
      <w:r>
        <w:rPr>
          <w:b/>
        </w:rPr>
        <w:t xml:space="preserve">Primary model: LightGBM </w:t>
      </w:r>
      <w:r>
        <w:t>— Use this for all final predictions and analysis</w:t>
      </w:r>
    </w:p>
    <w:p>
      <w:pPr>
        <w:pStyle w:val="ListNumber"/>
      </w:pPr>
      <w:r>
        <w:rPr>
          <w:b/>
        </w:rPr>
        <w:t xml:space="preserve">Baseline model: Linear Regression </w:t>
      </w:r>
      <w:r>
        <w:t>— Include for comparison and interpretability (OLS coefficients are easier to explain)</w:t>
      </w:r>
    </w:p>
    <w:p>
      <w:pPr>
        <w:pStyle w:val="ListNumber"/>
      </w:pPr>
      <w:r>
        <w:rPr>
          <w:b/>
        </w:rPr>
        <w:t xml:space="preserve">Report the model comparison </w:t>
      </w:r>
      <w:r>
        <w:t>— We tested 14 models and can show why LightGBM was selected</w:t>
      </w:r>
    </w:p>
    <w:p>
      <w:pPr>
        <w:pStyle w:val="ListNumber"/>
      </w:pPr>
      <w:r>
        <w:rPr>
          <w:b/>
        </w:rPr>
        <w:t xml:space="preserve">Focus on feature importances </w:t>
      </w:r>
      <w:r>
        <w:t>— This is where the research value is</w:t>
      </w:r>
    </w:p>
    <w:p>
      <w:pPr>
        <w:pStyle w:val="Heading2"/>
      </w:pPr>
      <w:r>
        <w:rPr>
          <w:color w:val="003366"/>
        </w:rPr>
        <w:t>For the Written Report</w:t>
      </w:r>
    </w:p>
    <w:p>
      <w:pPr>
        <w:pStyle w:val="ListBullet"/>
      </w:pPr>
      <w:r>
        <w:t>We have the hierarchical OLS regression from Module 4 (traditional statistical approach)</w:t>
      </w:r>
    </w:p>
    <w:p>
      <w:pPr>
        <w:pStyle w:val="ListBullet"/>
      </w:pPr>
      <w:r>
        <w:t>We now have the ML model comparison showing tree-based ensemble models perform best</w:t>
      </w:r>
    </w:p>
    <w:p>
      <w:pPr>
        <w:pStyle w:val="ListBullet"/>
      </w:pPr>
      <w:r>
        <w:t>Together, these two approaches provide a comprehensive analysis: statistical inference (OLS) + predictive modeling (LightGBM)</w:t>
      </w:r>
    </w:p>
    <w:p>
      <w:pPr>
        <w:pStyle w:val="Heading2"/>
      </w:pPr>
      <w:r>
        <w:rPr>
          <w:color w:val="003366"/>
        </w:rPr>
        <w:t>Files Saved</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b/>
                <w:sz w:val="18"/>
              </w:rPr>
              <w:t>File</w:t>
            </w:r>
          </w:p>
        </w:tc>
        <w:tc>
          <w:tcPr>
            <w:tcW w:type="dxa" w:w="4680"/>
          </w:tcPr>
          <w:p>
            <w:pPr>
              <w:jc w:val="center"/>
            </w:pPr>
            <w:r>
              <w:rPr>
                <w:b/>
                <w:sz w:val="18"/>
              </w:rPr>
              <w:t>Description</w:t>
            </w:r>
          </w:p>
        </w:tc>
      </w:tr>
      <w:tr>
        <w:tc>
          <w:tcPr>
            <w:tcW w:type="dxa" w:w="4680"/>
          </w:tcPr>
          <w:p>
            <w:r>
              <w:rPr>
                <w:sz w:val="18"/>
              </w:rPr>
              <w:t>Model_Comparison_Analysis.ipynb</w:t>
            </w:r>
          </w:p>
        </w:tc>
        <w:tc>
          <w:tcPr>
            <w:tcW w:type="dxa" w:w="4680"/>
          </w:tcPr>
          <w:p>
            <w:r>
              <w:rPr>
                <w:sz w:val="18"/>
              </w:rPr>
              <w:t>Complete Jupyter notebook with all code, charts, and analysis</w:t>
            </w:r>
          </w:p>
        </w:tc>
      </w:tr>
      <w:tr>
        <w:tc>
          <w:tcPr>
            <w:tcW w:type="dxa" w:w="4680"/>
          </w:tcPr>
          <w:p>
            <w:r>
              <w:rPr>
                <w:sz w:val="18"/>
              </w:rPr>
              <w:t>model_comparison_results.csv</w:t>
            </w:r>
          </w:p>
        </w:tc>
        <w:tc>
          <w:tcPr>
            <w:tcW w:type="dxa" w:w="4680"/>
          </w:tcPr>
          <w:p>
            <w:r>
              <w:rPr>
                <w:sz w:val="18"/>
              </w:rPr>
              <w:t>Full 14-model comparison table</w:t>
            </w:r>
          </w:p>
        </w:tc>
      </w:tr>
      <w:tr>
        <w:tc>
          <w:tcPr>
            <w:tcW w:type="dxa" w:w="4680"/>
          </w:tcPr>
          <w:p>
            <w:r>
              <w:rPr>
                <w:sz w:val="18"/>
              </w:rPr>
              <w:t>significance_tests.csv</w:t>
            </w:r>
          </w:p>
        </w:tc>
        <w:tc>
          <w:tcPr>
            <w:tcW w:type="dxa" w:w="4680"/>
          </w:tcPr>
          <w:p>
            <w:r>
              <w:rPr>
                <w:sz w:val="18"/>
              </w:rPr>
              <w:t>Paired t-test results</w:t>
            </w:r>
          </w:p>
        </w:tc>
      </w:tr>
      <w:tr>
        <w:tc>
          <w:tcPr>
            <w:tcW w:type="dxa" w:w="4680"/>
          </w:tcPr>
          <w:p>
            <w:r>
              <w:rPr>
                <w:sz w:val="18"/>
              </w:rPr>
              <w:t>tuning_results.csv</w:t>
            </w:r>
          </w:p>
        </w:tc>
        <w:tc>
          <w:tcPr>
            <w:tcW w:type="dxa" w:w="4680"/>
          </w:tcPr>
          <w:p>
            <w:r>
              <w:rPr>
                <w:sz w:val="18"/>
              </w:rPr>
              <w:t>Hyperparameter tuning attempts</w:t>
            </w:r>
          </w:p>
        </w:tc>
      </w:tr>
      <w:tr>
        <w:tc>
          <w:tcPr>
            <w:tcW w:type="dxa" w:w="4680"/>
          </w:tcPr>
          <w:p>
            <w:r>
              <w:rPr>
                <w:sz w:val="18"/>
              </w:rPr>
              <w:t>feature_importances.csv</w:t>
            </w:r>
          </w:p>
        </w:tc>
        <w:tc>
          <w:tcPr>
            <w:tcW w:type="dxa" w:w="4680"/>
          </w:tcPr>
          <w:p>
            <w:r>
              <w:rPr>
                <w:sz w:val="18"/>
              </w:rPr>
              <w:t>Feature importances for all top 5 models</w:t>
            </w:r>
          </w:p>
        </w:tc>
      </w:tr>
      <w:tr>
        <w:tc>
          <w:tcPr>
            <w:tcW w:type="dxa" w:w="4680"/>
          </w:tcPr>
          <w:p>
            <w:r>
              <w:rPr>
                <w:sz w:val="18"/>
              </w:rPr>
              <w:t>test_predictions.csv</w:t>
            </w:r>
          </w:p>
        </w:tc>
        <w:tc>
          <w:tcPr>
            <w:tcW w:type="dxa" w:w="4680"/>
          </w:tcPr>
          <w:p>
            <w:r>
              <w:rPr>
                <w:sz w:val="18"/>
              </w:rPr>
              <w:t>Actual vs. predicted values on test set</w:t>
            </w:r>
          </w:p>
        </w:tc>
      </w:tr>
      <w:tr>
        <w:tc>
          <w:tcPr>
            <w:tcW w:type="dxa" w:w="4680"/>
          </w:tcPr>
          <w:p>
            <w:r>
              <w:rPr>
                <w:sz w:val="18"/>
              </w:rPr>
              <w:t>cv_fold_scores.csv</w:t>
            </w:r>
          </w:p>
        </w:tc>
        <w:tc>
          <w:tcPr>
            <w:tcW w:type="dxa" w:w="4680"/>
          </w:tcPr>
          <w:p>
            <w:r>
              <w:rPr>
                <w:sz w:val="18"/>
              </w:rPr>
              <w:t>Individual cross-validation fold scores</w:t>
            </w:r>
          </w:p>
        </w:tc>
      </w:tr>
      <w:tr>
        <w:tc>
          <w:tcPr>
            <w:tcW w:type="dxa" w:w="4680"/>
          </w:tcPr>
          <w:p>
            <w:r>
              <w:rPr>
                <w:sz w:val="18"/>
              </w:rPr>
              <w:t>saved_models/lightgbm.joblib</w:t>
            </w:r>
          </w:p>
        </w:tc>
        <w:tc>
          <w:tcPr>
            <w:tcW w:type="dxa" w:w="4680"/>
          </w:tcPr>
          <w:p>
            <w:r>
              <w:rPr>
                <w:sz w:val="18"/>
              </w:rPr>
              <w:t>Trained LightGBM model (ready to load and use)</w:t>
            </w:r>
          </w:p>
        </w:tc>
      </w:tr>
      <w:tr>
        <w:tc>
          <w:tcPr>
            <w:tcW w:type="dxa" w:w="4680"/>
          </w:tcPr>
          <w:p>
            <w:r>
              <w:rPr>
                <w:sz w:val="18"/>
              </w:rPr>
              <w:t>saved_models/scaler.joblib</w:t>
            </w:r>
          </w:p>
        </w:tc>
        <w:tc>
          <w:tcPr>
            <w:tcW w:type="dxa" w:w="4680"/>
          </w:tcPr>
          <w:p>
            <w:r>
              <w:rPr>
                <w:sz w:val="18"/>
              </w:rPr>
              <w:t>StandardScaler for feature normalization</w:t>
            </w:r>
          </w:p>
        </w:tc>
      </w:tr>
      <w:tr>
        <w:tc>
          <w:tcPr>
            <w:tcW w:type="dxa" w:w="4680"/>
          </w:tcPr>
          <w:p>
            <w:r>
              <w:rPr>
                <w:sz w:val="18"/>
              </w:rPr>
              <w:t>figures/ folder</w:t>
            </w:r>
          </w:p>
        </w:tc>
        <w:tc>
          <w:tcPr>
            <w:tcW w:type="dxa" w:w="4680"/>
          </w:tcPr>
          <w:p>
            <w:r>
              <w:rPr>
                <w:sz w:val="18"/>
              </w:rPr>
              <w:t>All visualization PNGs</w:t>
            </w:r>
          </w:p>
        </w:tc>
      </w:tr>
    </w:tbl>
    <w:p>
      <w:r>
        <w:br w:type="page"/>
      </w:r>
    </w:p>
    <w:p>
      <w:pPr>
        <w:pStyle w:val="Heading1"/>
      </w:pPr>
      <w:r>
        <w:rPr>
          <w:color w:val="003366"/>
        </w:rPr>
        <w:t>8. One-Paragraph Summary (for the report)</w:t>
      </w:r>
    </w:p>
    <w:p>
      <w:pPr>
        <w:spacing w:before="120" w:after="120"/>
        <w:ind w:left="567" w:right="567"/>
      </w:pPr>
      <w:r>
        <w:rPr>
          <w:i/>
          <w:sz w:val="22"/>
        </w:rPr>
        <w:t>We evaluated 14 regression models on the 2024 Federal Employee Viewpoint Survey (N = 453,082) to predict overall job satisfaction (Q69). After training and testing via 80/20 split with 5-fold cross-validation, the top 5 models were all ensemble tree-based methods: XGBoost (R² = 0.532), LightGBM (R² = 0.532), Gradient Boosting (R² = 0.532), Extra Trees (R² = 0.531), and Random Forest (R² = 0.531). Paired t-tests confirmed the top 3 models are statistically indistinguishable (p = 0.944). We selected LightGBM as the primary model due to its identical accuracy, highest cross-validation mean R² (0.5243), best RMSE (0.8015), and fastest training time (0.38s — 7x faster than XGBoost). Feature importance analysis revealed that employee engagement (34.4%), telework frequency (21.2%), and work-life balance satisfaction (18.9%) account for 74.5% of the model’s predictive power. While demographic variables show some contribution in LightGBM’s split-based importance, the three core workplace experience factors clearly dominate, indicating that job satisfaction in the federal workforce is driven primarily by how employees experience their work rather than individual demographic characteristics.</w:t>
      </w:r>
    </w:p>
    <w:p/>
    <w:p>
      <w:r>
        <w:rPr>
          <w:i/>
          <w:color w:val="808080"/>
          <w:sz w:val="18"/>
        </w:rPr>
        <w:t>Generated from Model_Comparison_Analysis.ipynb — all code, data, and visualizations are reproducible.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