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Times New Roman" w:hAnsi="Times New Roman"/>
          <w:b/>
          <w:sz w:val="24"/>
        </w:rPr>
        <w:t>Industry and Scholarly Review:</w:t>
      </w:r>
    </w:p>
    <w:p>
      <w:pPr>
        <w:jc w:val="center"/>
      </w:pPr>
      <w:r>
        <w:rPr>
          <w:rFonts w:ascii="Times New Roman" w:hAnsi="Times New Roman"/>
          <w:b/>
          <w:sz w:val="24"/>
        </w:rPr>
        <w:t>Remote Work, Work-Life Balance, and Federal Employee Job Satisfaction</w:t>
      </w:r>
    </w:p>
    <w:p/>
    <w:p>
      <w:pPr>
        <w:jc w:val="center"/>
      </w:pPr>
      <w:r>
        <w:rPr>
          <w:rFonts w:ascii="Times New Roman" w:hAnsi="Times New Roman"/>
          <w:sz w:val="24"/>
        </w:rPr>
        <w:t>Karan Parekh</w:t>
      </w:r>
    </w:p>
    <w:p>
      <w:pPr>
        <w:jc w:val="center"/>
      </w:pPr>
      <w:r>
        <w:rPr>
          <w:rFonts w:ascii="Times New Roman" w:hAnsi="Times New Roman"/>
          <w:sz w:val="24"/>
        </w:rPr>
        <w:t>ADTA 5940 — Analytics Capstone Experience</w:t>
      </w:r>
    </w:p>
    <w:p>
      <w:pPr>
        <w:jc w:val="center"/>
      </w:pPr>
      <w:r>
        <w:rPr>
          <w:rFonts w:ascii="Times New Roman" w:hAnsi="Times New Roman"/>
          <w:sz w:val="24"/>
        </w:rPr>
        <w:t>University of North Texas</w:t>
      </w:r>
    </w:p>
    <w:p>
      <w:pPr>
        <w:jc w:val="center"/>
      </w:pPr>
      <w:r>
        <w:rPr>
          <w:rFonts w:ascii="Times New Roman" w:hAnsi="Times New Roman"/>
          <w:sz w:val="24"/>
        </w:rPr>
        <w:t>Spring 2026</w:t>
      </w:r>
    </w:p>
    <w:p>
      <w:r>
        <w:br w:type="page"/>
      </w:r>
    </w:p>
    <w:p>
      <w:pPr>
        <w:spacing w:before="240" w:after="0" w:line="480" w:lineRule="auto"/>
        <w:jc w:val="center"/>
      </w:pPr>
      <w:r>
        <w:rPr>
          <w:rFonts w:ascii="Times New Roman" w:hAnsi="Times New Roman"/>
          <w:b/>
          <w:sz w:val="24"/>
        </w:rPr>
        <w:t>Introduction</w:t>
      </w:r>
    </w:p>
    <w:p>
      <w:pPr>
        <w:spacing w:line="480" w:lineRule="auto" w:after="0" w:before="0"/>
        <w:ind w:firstLine="720"/>
        <w:jc w:val="both"/>
      </w:pPr>
      <w:r>
        <w:rPr>
          <w:rFonts w:ascii="Times New Roman" w:hAnsi="Times New Roman"/>
          <w:sz w:val="24"/>
        </w:rPr>
        <w:t>The rapid expansion of remote work across the federal workforce, accelerated by the COVID-19 pandemic, has fundamentally reshaped how government agencies attract, retain, and engage employees. As agencies continue to refine their telework policies amid political and operational pressures, understanding the relationship between remote work arrangements, work-life balance, and employee satisfaction has become a critical priority for public-sector human resource management. This literature review synthesizes scholarly research and industry reports published primarily between 2020 and 2025 to establish the theoretical and empirical foundation for analyzing federal employee job satisfaction using the 2024 Federal Employee Viewpoint Survey (FEVS). The review is organized into four thematic areas: (1) the evolution of telework in the federal government, (2) theoretical frameworks linking remote work to employee outcomes, (3) empirical findings on work-life balance and job satisfaction, and (4) the role of employee engagement as a mediating factor.</w:t>
      </w:r>
    </w:p>
    <w:p>
      <w:pPr>
        <w:spacing w:before="240" w:after="0" w:line="480" w:lineRule="auto"/>
        <w:jc w:val="center"/>
      </w:pPr>
      <w:r>
        <w:rPr>
          <w:rFonts w:ascii="Times New Roman" w:hAnsi="Times New Roman"/>
          <w:b/>
          <w:sz w:val="24"/>
        </w:rPr>
        <w:t>The Evolution of Telework in the Federal Government</w:t>
      </w:r>
    </w:p>
    <w:p>
      <w:pPr>
        <w:spacing w:line="480" w:lineRule="auto" w:after="0" w:before="0"/>
        <w:ind w:firstLine="720"/>
        <w:jc w:val="both"/>
      </w:pPr>
      <w:r>
        <w:rPr>
          <w:rFonts w:ascii="Times New Roman" w:hAnsi="Times New Roman"/>
          <w:sz w:val="24"/>
        </w:rPr>
        <w:t>Telework in the U.S. federal government has a legislative history that predates the pandemic. The Telework Enhancement Act of 2010 required each executive agency to establish telework policies and designate a Telework Managing Officer (U.S. Office of Personnel Management [OPM], 2023). However, adoption remained uneven across agencies, with many supervisors reluctant to approve remote arrangements. The COVID-19 pandemic served as an inflection point, forcing rapid adoption of maximum telework across nearly all federal agencies beginning in March 2020 (Makarius et al., 2021). According to OPM’s annual telework reports, the percentage of federal employees engaged in some form of telework increased from approximately 40% pre-pandemic to over 60% during the height of the pandemic (OPM, 2023).</w:t>
      </w:r>
    </w:p>
    <w:p>
      <w:pPr>
        <w:spacing w:line="480" w:lineRule="auto" w:after="0" w:before="0"/>
        <w:ind w:firstLine="720"/>
        <w:jc w:val="both"/>
      </w:pPr>
      <w:r>
        <w:rPr>
          <w:rFonts w:ascii="Times New Roman" w:hAnsi="Times New Roman"/>
          <w:sz w:val="24"/>
        </w:rPr>
        <w:t>As agencies transitioned from emergency operations back to routine postures, debate intensified around how much telework should persist. Congressional hearings and executive orders in 2023 and 2024 emphasized returning federal workers to offices, while employee advocacy groups argued that telework improved both morale and productivity (Government Accountability Office [GAO], 2024). The 2024 FEVS results provide a timely dataset for examining how these evolving policies relate to employee satisfaction and engagement on a national scale.</w:t>
      </w:r>
    </w:p>
    <w:p>
      <w:pPr>
        <w:spacing w:before="240" w:after="0" w:line="480" w:lineRule="auto"/>
        <w:jc w:val="center"/>
      </w:pPr>
      <w:r>
        <w:rPr>
          <w:rFonts w:ascii="Times New Roman" w:hAnsi="Times New Roman"/>
          <w:b/>
          <w:sz w:val="24"/>
        </w:rPr>
        <w:t>Theoretical Frameworks</w:t>
      </w:r>
    </w:p>
    <w:p>
      <w:pPr>
        <w:spacing w:before="120" w:after="0" w:line="480" w:lineRule="auto"/>
        <w:jc w:val="left"/>
      </w:pPr>
      <w:r>
        <w:rPr>
          <w:rFonts w:ascii="Times New Roman" w:hAnsi="Times New Roman"/>
          <w:b/>
          <w:sz w:val="24"/>
        </w:rPr>
        <w:t>Job Demands-Resources Theory</w:t>
      </w:r>
    </w:p>
    <w:p>
      <w:pPr>
        <w:spacing w:line="480" w:lineRule="auto" w:after="0" w:before="0"/>
        <w:ind w:firstLine="720"/>
        <w:jc w:val="both"/>
      </w:pPr>
      <w:r>
        <w:rPr>
          <w:rFonts w:ascii="Times New Roman" w:hAnsi="Times New Roman"/>
          <w:sz w:val="24"/>
        </w:rPr>
        <w:t>The Job Demands-Resources (JD-R) model (Bakker &amp; Demerouti, 2017) provides a widely used theoretical lens for understanding how workplace conditions influence employee well-being and satisfaction. The JD-R model posits that every job has demands (aspects that require sustained effort and are associated with physiological or psychological costs) and resources (aspects that help achieve work goals, reduce demands, or stimulate personal growth). Telework can function as a job resource by offering employees greater autonomy and schedule flexibility, thereby reducing commuting demands and enabling better management of personal responsibilities (Gajendran &amp; Harrison, 2007). When job resources exceed demands, employees experience higher engagement and satisfaction; when demands dominate, burnout and dissatisfaction follow.</w:t>
      </w:r>
    </w:p>
    <w:p>
      <w:pPr>
        <w:spacing w:before="120" w:after="0" w:line="480" w:lineRule="auto"/>
        <w:jc w:val="left"/>
      </w:pPr>
      <w:r>
        <w:rPr>
          <w:rFonts w:ascii="Times New Roman" w:hAnsi="Times New Roman"/>
          <w:b/>
          <w:sz w:val="24"/>
        </w:rPr>
        <w:t>Self-Determination Theory</w:t>
      </w:r>
    </w:p>
    <w:p>
      <w:pPr>
        <w:spacing w:line="480" w:lineRule="auto" w:after="0" w:before="0"/>
        <w:ind w:firstLine="720"/>
        <w:jc w:val="both"/>
      </w:pPr>
      <w:r>
        <w:rPr>
          <w:rFonts w:ascii="Times New Roman" w:hAnsi="Times New Roman"/>
          <w:sz w:val="24"/>
        </w:rPr>
        <w:t>Self-Determination Theory (SDT) (Deci &amp; Ryan, 2000) complements the JD-R framework by explaining the psychological mechanisms through which autonomy influences motivation and satisfaction. SDT holds that three basic psychological needs—autonomy, competence, and relatedness—must be satisfied for individuals to experience intrinsic motivation and well-being. Remote work directly enhances perceived autonomy by giving employees control over their work environment and schedule. However, it may simultaneously threaten relatedness if employees feel isolated from colleagues and supervisors. The balance of these effects likely determines whether telework ultimately improves or diminishes satisfaction (Wang et al., 2021).</w:t>
      </w:r>
    </w:p>
    <w:p>
      <w:pPr>
        <w:spacing w:before="120" w:after="0" w:line="480" w:lineRule="auto"/>
        <w:jc w:val="left"/>
      </w:pPr>
      <w:r>
        <w:rPr>
          <w:rFonts w:ascii="Times New Roman" w:hAnsi="Times New Roman"/>
          <w:b/>
          <w:sz w:val="24"/>
        </w:rPr>
        <w:t>Spillover Theory</w:t>
      </w:r>
    </w:p>
    <w:p>
      <w:pPr>
        <w:spacing w:line="480" w:lineRule="auto" w:after="0" w:before="0"/>
        <w:ind w:firstLine="720"/>
        <w:jc w:val="both"/>
      </w:pPr>
      <w:r>
        <w:rPr>
          <w:rFonts w:ascii="Times New Roman" w:hAnsi="Times New Roman"/>
          <w:sz w:val="24"/>
        </w:rPr>
        <w:t>Spillover theory (Edwards &amp; Rothbard, 2000) explains the bidirectional relationship between work and personal life domains. Positive spillover occurs when satisfaction or skills in one domain transfer beneficially to the other, while negative spillover occurs when stress or conflict in one domain impairs functioning in the other. Telework may promote positive spillover by enabling employees to attend to family responsibilities without sacrificing work productivity. Conversely, blurred boundaries between work and home can generate negative spillover if employees struggle to disconnect (Allen et al., 2015). Work-life balance perceptions, therefore, serve as a critical mediating mechanism between telework arrangements and job satisfaction.</w:t>
      </w:r>
    </w:p>
    <w:p>
      <w:pPr>
        <w:spacing w:before="240" w:after="0" w:line="480" w:lineRule="auto"/>
        <w:jc w:val="center"/>
      </w:pPr>
      <w:r>
        <w:rPr>
          <w:rFonts w:ascii="Times New Roman" w:hAnsi="Times New Roman"/>
          <w:b/>
          <w:sz w:val="24"/>
        </w:rPr>
        <w:t>Remote Work and Job Satisfaction: Empirical Evidence</w:t>
      </w:r>
    </w:p>
    <w:p>
      <w:pPr>
        <w:spacing w:line="480" w:lineRule="auto" w:after="0" w:before="0"/>
        <w:ind w:firstLine="720"/>
        <w:jc w:val="both"/>
      </w:pPr>
      <w:r>
        <w:rPr>
          <w:rFonts w:ascii="Times New Roman" w:hAnsi="Times New Roman"/>
          <w:sz w:val="24"/>
        </w:rPr>
        <w:t>A growing body of empirical research has examined the telework-satisfaction link across organizational settings. Bloom et al. (2015), in a randomized controlled trial at a Chinese travel agency, found that employees assigned to work from home experienced a 13% performance increase and reported substantially higher job satisfaction and lower turnover intentions compared to office-based counterparts. While this study predates the pandemic and is set in the private sector, it remains one of the most rigorous causal evaluations of remote work effects.</w:t>
      </w:r>
    </w:p>
    <w:p>
      <w:pPr>
        <w:spacing w:line="480" w:lineRule="auto" w:after="0" w:before="0"/>
        <w:ind w:firstLine="720"/>
        <w:jc w:val="both"/>
      </w:pPr>
      <w:r>
        <w:rPr>
          <w:rFonts w:ascii="Times New Roman" w:hAnsi="Times New Roman"/>
          <w:sz w:val="24"/>
        </w:rPr>
        <w:t>More recently, Kaduk et al. (2019) analyzed data from a large U.S. employer and found that telework frequency was positively associated with job satisfaction but that this relationship was moderated by supervisor support—employees whose managers actively supported remote work reported the highest satisfaction. This finding underscores the importance of organizational culture beyond mere policy availability.</w:t>
      </w:r>
    </w:p>
    <w:p>
      <w:pPr>
        <w:spacing w:line="480" w:lineRule="auto" w:after="0" w:before="0"/>
        <w:ind w:firstLine="720"/>
        <w:jc w:val="both"/>
      </w:pPr>
      <w:r>
        <w:rPr>
          <w:rFonts w:ascii="Times New Roman" w:hAnsi="Times New Roman"/>
          <w:sz w:val="24"/>
        </w:rPr>
        <w:t>In the federal context, Caillier (2012) used earlier waves of the FEVS to examine telework and satisfaction among federal employees, finding a positive association between telework participation and global job satisfaction. Extending this work, Caillier (2016) demonstrated that the telework-satisfaction relationship was partially mediated by role clarity, suggesting that telework benefits satisfaction most when employees have well-defined responsibilities.</w:t>
      </w:r>
    </w:p>
    <w:p>
      <w:pPr>
        <w:spacing w:line="480" w:lineRule="auto" w:after="0" w:before="0"/>
        <w:ind w:firstLine="720"/>
        <w:jc w:val="both"/>
      </w:pPr>
      <w:r>
        <w:rPr>
          <w:rFonts w:ascii="Times New Roman" w:hAnsi="Times New Roman"/>
          <w:sz w:val="24"/>
        </w:rPr>
        <w:t>The post-pandemic landscape has introduced new dynamics. Barrero et al. (2023) analyzed nationally representative data and found that employees who worked from home valued the arrangement at approximately 8% of salary equivalent, with the primary benefit being reduced commuting time and improved work-life flexibility. Notably, hybrid arrangements (2–3 days per week) appeared to optimize satisfaction, while full-time remote work showed diminishing returns for some employees due to social isolation. Similarly, Bloom (2024) reported findings from a large-scale hybrid work experiment showing that hybrid schedules reduced attrition by 33% and had no negative impact on performance or promotion rates, further supporting the satisfaction benefits of flexible arrangements.</w:t>
      </w:r>
    </w:p>
    <w:p>
      <w:pPr>
        <w:spacing w:line="480" w:lineRule="auto" w:after="0" w:before="0"/>
        <w:ind w:firstLine="720"/>
        <w:jc w:val="both"/>
      </w:pPr>
      <w:r>
        <w:rPr>
          <w:rFonts w:ascii="Times New Roman" w:hAnsi="Times New Roman"/>
          <w:sz w:val="24"/>
        </w:rPr>
        <w:t>Within the federal government specifically, Lee and Kim (2023) examined the 2022 FEVS and found that routine teleworkers reported significantly higher satisfaction scores than onsite-required employees, even after controlling for agency, occupation, and demographics. However, the authors noted a potential endogeneity concern: employees who are permitted to telework may disproportionately belong to higher-grade, higher-autonomy positions that independently predict satisfaction.</w:t>
      </w:r>
    </w:p>
    <w:p>
      <w:pPr>
        <w:spacing w:before="240" w:after="0" w:line="480" w:lineRule="auto"/>
        <w:jc w:val="center"/>
      </w:pPr>
      <w:r>
        <w:rPr>
          <w:rFonts w:ascii="Times New Roman" w:hAnsi="Times New Roman"/>
          <w:b/>
          <w:sz w:val="24"/>
        </w:rPr>
        <w:t>Work-Life Balance as a Mediating Mechanism</w:t>
      </w:r>
    </w:p>
    <w:p>
      <w:pPr>
        <w:spacing w:line="480" w:lineRule="auto" w:after="0" w:before="0"/>
        <w:ind w:firstLine="720"/>
        <w:jc w:val="both"/>
      </w:pPr>
      <w:r>
        <w:rPr>
          <w:rFonts w:ascii="Times New Roman" w:hAnsi="Times New Roman"/>
          <w:sz w:val="24"/>
        </w:rPr>
        <w:t>The literature consistently identifies work-life balance (WLB) as a key mechanism through which telework influences satisfaction. Greenhaus and Allen (2011) defined work-life balance as the degree to which an individual’s effectiveness and satisfaction in work and family roles are compatible with the individual’s life priorities. Employees who achieve balance report lower stress, fewer interpersonal conflicts, and higher overall life satisfaction, which in turn spills over into job satisfaction.</w:t>
      </w:r>
    </w:p>
    <w:p>
      <w:pPr>
        <w:spacing w:line="480" w:lineRule="auto" w:after="0" w:before="0"/>
        <w:ind w:firstLine="720"/>
        <w:jc w:val="both"/>
      </w:pPr>
      <w:r>
        <w:rPr>
          <w:rFonts w:ascii="Times New Roman" w:hAnsi="Times New Roman"/>
          <w:sz w:val="24"/>
        </w:rPr>
        <w:t>Shockley and Allen (2007) provided meta-analytic evidence that schedule flexibility—a direct consequence of telework access—was one of the strongest predictors of work-family balance. More recently, Vaziri et al. (2020) studied the transition to remote work during the pandemic and found that employees who successfully established boundaries between work and non-work activities experienced significant WLB improvements and corresponding satisfaction gains. However, those who experienced work-home interference—checking emails during family time or handling childcare during meetings—reported decreased balance and lower satisfaction, illustrating that telework is not inherently beneficial without effective boundary management.</w:t>
      </w:r>
    </w:p>
    <w:p>
      <w:pPr>
        <w:spacing w:line="480" w:lineRule="auto" w:after="0" w:before="0"/>
        <w:ind w:firstLine="720"/>
        <w:jc w:val="both"/>
      </w:pPr>
      <w:r>
        <w:rPr>
          <w:rFonts w:ascii="Times New Roman" w:hAnsi="Times New Roman"/>
          <w:sz w:val="24"/>
        </w:rPr>
        <w:t>In the federal workforce, questions on the FEVS directly capture WLB perceptions. Items such as “My supervisor supports my need to balance work and other life issues” (Q49) and “Senior leaders demonstrate support for Work-Life programs” (Q63) reflect the organizational dimension of WLB that extends beyond individual telework arrangements. Fernandez et al. (2021) analyzed FEVS data and found that supervisor and organizational support for WLB were among the strongest predictors of job satisfaction, even stronger than telework participation itself. This finding suggests that the organizational culture around flexibility may matter more than the flexible arrangement per se.</w:t>
      </w:r>
    </w:p>
    <w:p>
      <w:pPr>
        <w:spacing w:before="240" w:after="0" w:line="480" w:lineRule="auto"/>
        <w:jc w:val="center"/>
      </w:pPr>
      <w:r>
        <w:rPr>
          <w:rFonts w:ascii="Times New Roman" w:hAnsi="Times New Roman"/>
          <w:b/>
          <w:sz w:val="24"/>
        </w:rPr>
        <w:t>Employee Engagement: The Dominant Predictor</w:t>
      </w:r>
    </w:p>
    <w:p>
      <w:pPr>
        <w:spacing w:line="480" w:lineRule="auto" w:after="0" w:before="0"/>
        <w:ind w:firstLine="720"/>
        <w:jc w:val="both"/>
      </w:pPr>
      <w:r>
        <w:rPr>
          <w:rFonts w:ascii="Times New Roman" w:hAnsi="Times New Roman"/>
          <w:sz w:val="24"/>
        </w:rPr>
        <w:t>Employee engagement has emerged as the most robust predictor of job satisfaction in both the private and public sectors. The OPM defines employee engagement through its Employee Engagement Index (EEI), which encompasses three subindices: Leaders Lead (perceptions of senior leadership integrity and communication), Supervisors (quality of supervisory relationships), and Intrinsic Work Experience (feelings of accomplishment, empowerment, and skill utilization) (OPM, 2024).</w:t>
      </w:r>
    </w:p>
    <w:p>
      <w:pPr>
        <w:spacing w:line="480" w:lineRule="auto" w:after="0" w:before="0"/>
        <w:ind w:firstLine="720"/>
        <w:jc w:val="both"/>
      </w:pPr>
      <w:r>
        <w:rPr>
          <w:rFonts w:ascii="Times New Roman" w:hAnsi="Times New Roman"/>
          <w:sz w:val="24"/>
        </w:rPr>
        <w:t>Harter et al. (2002) conducted a foundational meta-analysis across 7,939 business units and found that employee engagement was significantly related to customer satisfaction, productivity, profit, employee turnover, and safety outcomes. Within the public sector, Lavigna (2013) demonstrated that engaged federal employees reported substantially higher satisfaction and commitment, and that agencies with higher engagement scores had lower attrition rates and higher performance ratings.</w:t>
      </w:r>
    </w:p>
    <w:p>
      <w:pPr>
        <w:spacing w:line="480" w:lineRule="auto" w:after="0" w:before="0"/>
        <w:ind w:firstLine="720"/>
        <w:jc w:val="both"/>
      </w:pPr>
      <w:r>
        <w:rPr>
          <w:rFonts w:ascii="Times New Roman" w:hAnsi="Times New Roman"/>
          <w:sz w:val="24"/>
        </w:rPr>
        <w:t>The relationship between engagement and satisfaction is theoretically bidirectional but practically operates as a reinforcing cycle: engaged employees invest discretionary effort in their work, experience mastery and meaning, and consequently report higher satisfaction, which in turn sustains engagement (Saks, 2006). For the current study, the EEI serves as a critical control variable because it captures the quality of the leadership environment and work experience that may confound the telework-satisfaction relationship.</w:t>
      </w:r>
    </w:p>
    <w:p>
      <w:pPr>
        <w:spacing w:line="480" w:lineRule="auto" w:after="0" w:before="0"/>
        <w:ind w:firstLine="720"/>
        <w:jc w:val="both"/>
      </w:pPr>
      <w:r>
        <w:rPr>
          <w:rFonts w:ascii="Times New Roman" w:hAnsi="Times New Roman"/>
          <w:sz w:val="24"/>
        </w:rPr>
        <w:t>Recent federal workforce analyses have highlighted a potential Simpson’s Paradox in the telework-satisfaction data: raw comparisons may show that in-office employees have lower satisfaction, but this difference could be driven by underlying differences in engagement and organizational culture rather than by telework itself (Techera et al., 2016). Controlling for engagement allows isolation of the independent telework effect, which prior research suggests is modest once engagement is accounted for.</w:t>
      </w:r>
    </w:p>
    <w:p>
      <w:pPr>
        <w:spacing w:before="240" w:after="0" w:line="480" w:lineRule="auto"/>
        <w:jc w:val="center"/>
      </w:pPr>
      <w:r>
        <w:rPr>
          <w:rFonts w:ascii="Times New Roman" w:hAnsi="Times New Roman"/>
          <w:b/>
          <w:sz w:val="24"/>
        </w:rPr>
        <w:t>Demographic Considerations</w:t>
      </w:r>
    </w:p>
    <w:p>
      <w:pPr>
        <w:spacing w:line="480" w:lineRule="auto" w:after="0" w:before="0"/>
        <w:ind w:firstLine="720"/>
        <w:jc w:val="both"/>
      </w:pPr>
      <w:r>
        <w:rPr>
          <w:rFonts w:ascii="Times New Roman" w:hAnsi="Times New Roman"/>
          <w:sz w:val="24"/>
        </w:rPr>
        <w:t>Demographic characteristics such as age, gender, supervisory status, and organizational tenure may moderate the relationship between telework and satisfaction. Older workers and those with longer tenure may have well-established work routines and professional networks that make them less dependent on telework for satisfaction (Morganson et al., 2010). Supervisors may experience telework differently than non-supervisors because managing remote teams introduces unique challenges around coordination and trust (Golden &amp; Fromen, 2011). Gender differences in telework satisfaction have been documented, with women often reporting greater WLB benefits from telework due to disproportionate caregiving responsibilities, though these effects may be context-dependent (Lott &amp; Chung, 2016).</w:t>
      </w:r>
    </w:p>
    <w:p>
      <w:pPr>
        <w:spacing w:line="480" w:lineRule="auto" w:after="0" w:before="0"/>
        <w:ind w:firstLine="720"/>
        <w:jc w:val="both"/>
      </w:pPr>
      <w:r>
        <w:rPr>
          <w:rFonts w:ascii="Times New Roman" w:hAnsi="Times New Roman"/>
          <w:sz w:val="24"/>
        </w:rPr>
        <w:t>The FEVS provides demographic variables including age group, gender, supervisory status, and federal tenure that allow examination of these moderating effects. Including demographics as a final block in a hierarchical regression model allows assessment of whether the telework, WLB, and engagement effects are robust across demographic subgroups or are artifacts of compositional differences in who teleworks.</w:t>
      </w:r>
    </w:p>
    <w:p>
      <w:pPr>
        <w:spacing w:before="240" w:after="0" w:line="480" w:lineRule="auto"/>
        <w:jc w:val="center"/>
      </w:pPr>
      <w:r>
        <w:rPr>
          <w:rFonts w:ascii="Times New Roman" w:hAnsi="Times New Roman"/>
          <w:b/>
          <w:sz w:val="24"/>
        </w:rPr>
        <w:t>Summary and Research Gap</w:t>
      </w:r>
    </w:p>
    <w:p>
      <w:pPr>
        <w:spacing w:line="480" w:lineRule="auto" w:after="0" w:before="0"/>
        <w:ind w:firstLine="720"/>
        <w:jc w:val="both"/>
      </w:pPr>
      <w:r>
        <w:rPr>
          <w:rFonts w:ascii="Times New Roman" w:hAnsi="Times New Roman"/>
          <w:sz w:val="24"/>
        </w:rPr>
        <w:t>The existing literature establishes several key findings: (1) telework is generally associated with higher job satisfaction, but the magnitude of this effect varies by context, supervisor support, and boundary management effectiveness; (2) work-life balance is a primary mechanism linking telework to satisfaction; (3) employee engagement is the dominant predictor of satisfaction in workplace studies and may confound simple telework-satisfaction comparisons; and (4) demographic factors can moderate these relationships.</w:t>
      </w:r>
    </w:p>
    <w:p>
      <w:pPr>
        <w:spacing w:line="480" w:lineRule="auto" w:after="0" w:before="0"/>
        <w:ind w:firstLine="720"/>
        <w:jc w:val="both"/>
      </w:pPr>
      <w:r>
        <w:rPr>
          <w:rFonts w:ascii="Times New Roman" w:hAnsi="Times New Roman"/>
          <w:sz w:val="24"/>
        </w:rPr>
        <w:t>However, several gaps remain. Most post-pandemic studies of federal telework rely on the 2020–2022 FEVS waves, collected during or immediately after pandemic emergency operations. The 2024 FEVS captures a more stable policy environment following the full return-to-office debates of 2023–2024, providing a timely update. Additionally, few studies have used hierarchical regression to simultaneously decompose the telework effect after controlling for WLB, engagement, and demographics in a single integrated model. The present study addresses these gaps by applying a four-block hierarchical OLS regression to the complete 2024 FEVS public-release dataset (N &gt; 500,000), allowing precise estimation of each predictor block’s incremental contribution to explaining federal employee job satisfaction.</w:t>
      </w:r>
    </w:p>
    <w:p>
      <w:r>
        <w:br w:type="page"/>
      </w:r>
    </w:p>
    <w:p>
      <w:pPr>
        <w:spacing w:before="240" w:after="0" w:line="480" w:lineRule="auto"/>
        <w:jc w:val="center"/>
      </w:pPr>
      <w:r>
        <w:rPr>
          <w:rFonts w:ascii="Times New Roman" w:hAnsi="Times New Roman"/>
          <w:b/>
          <w:sz w:val="24"/>
        </w:rPr>
        <w:t>References</w:t>
      </w:r>
    </w:p>
    <w:p>
      <w:pPr>
        <w:spacing w:line="480" w:lineRule="auto" w:after="0" w:before="0"/>
        <w:ind w:left="720" w:hanging="720"/>
        <w:jc w:val="left"/>
      </w:pPr>
      <w:r>
        <w:rPr>
          <w:rFonts w:ascii="Times New Roman" w:hAnsi="Times New Roman"/>
          <w:i w:val="0"/>
          <w:sz w:val="24"/>
        </w:rPr>
        <w:t xml:space="preserve">Allen, T. D., Golden, T. D., &amp; Shockley, K. M. (2015). How effective is telecommuting? Assessing the status of our scientific findings. </w:t>
      </w:r>
      <w:r>
        <w:rPr>
          <w:rFonts w:ascii="Times New Roman" w:hAnsi="Times New Roman"/>
          <w:i/>
          <w:sz w:val="24"/>
        </w:rPr>
        <w:t>Psychological Science in the Public Interest, 16</w:t>
      </w:r>
      <w:r>
        <w:rPr>
          <w:rFonts w:ascii="Times New Roman" w:hAnsi="Times New Roman"/>
          <w:i w:val="0"/>
          <w:sz w:val="24"/>
        </w:rPr>
        <w:t>(2), 40–68. https://doi.org/10.1177/1529100615593273</w:t>
      </w:r>
    </w:p>
    <w:p>
      <w:pPr>
        <w:spacing w:line="480" w:lineRule="auto" w:after="0" w:before="0"/>
        <w:ind w:left="720" w:hanging="720"/>
        <w:jc w:val="left"/>
      </w:pPr>
      <w:r>
        <w:rPr>
          <w:rFonts w:ascii="Times New Roman" w:hAnsi="Times New Roman"/>
          <w:i w:val="0"/>
          <w:sz w:val="24"/>
        </w:rPr>
        <w:t xml:space="preserve">Bakker, A. B., &amp; Demerouti, E. (2017). Job demands-resources theory: Taking stock and looking forward. </w:t>
      </w:r>
      <w:r>
        <w:rPr>
          <w:rFonts w:ascii="Times New Roman" w:hAnsi="Times New Roman"/>
          <w:i/>
          <w:sz w:val="24"/>
        </w:rPr>
        <w:t>Journal of Occupational Health Psychology, 22</w:t>
      </w:r>
      <w:r>
        <w:rPr>
          <w:rFonts w:ascii="Times New Roman" w:hAnsi="Times New Roman"/>
          <w:i w:val="0"/>
          <w:sz w:val="24"/>
        </w:rPr>
        <w:t>(3), 273–285. https://doi.org/10.1037/ocp0000056</w:t>
      </w:r>
    </w:p>
    <w:p>
      <w:pPr>
        <w:spacing w:line="480" w:lineRule="auto" w:after="0" w:before="0"/>
        <w:ind w:left="720" w:hanging="720"/>
        <w:jc w:val="left"/>
      </w:pPr>
      <w:r>
        <w:rPr>
          <w:rFonts w:ascii="Times New Roman" w:hAnsi="Times New Roman"/>
          <w:i w:val="0"/>
          <w:sz w:val="24"/>
        </w:rPr>
        <w:t xml:space="preserve">Barrero, J. M., Bloom, N., &amp; Davis, S. J. (2023). The evolution of work from home. </w:t>
      </w:r>
      <w:r>
        <w:rPr>
          <w:rFonts w:ascii="Times New Roman" w:hAnsi="Times New Roman"/>
          <w:i/>
          <w:sz w:val="24"/>
        </w:rPr>
        <w:t>Journal of Economic Perspectives, 37</w:t>
      </w:r>
      <w:r>
        <w:rPr>
          <w:rFonts w:ascii="Times New Roman" w:hAnsi="Times New Roman"/>
          <w:i w:val="0"/>
          <w:sz w:val="24"/>
        </w:rPr>
        <w:t>(4), 23–49. https://doi.org/10.1257/jep.37.4.23</w:t>
      </w:r>
    </w:p>
    <w:p>
      <w:pPr>
        <w:spacing w:line="480" w:lineRule="auto" w:after="0" w:before="0"/>
        <w:ind w:left="720" w:hanging="720"/>
        <w:jc w:val="left"/>
      </w:pPr>
      <w:r>
        <w:rPr>
          <w:rFonts w:ascii="Times New Roman" w:hAnsi="Times New Roman"/>
          <w:i w:val="0"/>
          <w:sz w:val="24"/>
        </w:rPr>
        <w:t xml:space="preserve">Bloom, N. (2024). Hybrid is the future of work. </w:t>
      </w:r>
      <w:r>
        <w:rPr>
          <w:rFonts w:ascii="Times New Roman" w:hAnsi="Times New Roman"/>
          <w:i/>
          <w:sz w:val="24"/>
        </w:rPr>
        <w:t>Stanford Institute for Economic Policy Research (SIEPR) Policy Brief</w:t>
      </w:r>
      <w:r>
        <w:rPr>
          <w:rFonts w:ascii="Times New Roman" w:hAnsi="Times New Roman"/>
          <w:i w:val="0"/>
          <w:sz w:val="24"/>
        </w:rPr>
        <w:t>. https://siepr.stanford.edu/publications/policy-brief/hybrid-future-work</w:t>
      </w:r>
    </w:p>
    <w:p>
      <w:pPr>
        <w:spacing w:line="480" w:lineRule="auto" w:after="0" w:before="0"/>
        <w:ind w:left="720" w:hanging="720"/>
        <w:jc w:val="left"/>
      </w:pPr>
      <w:r>
        <w:rPr>
          <w:rFonts w:ascii="Times New Roman" w:hAnsi="Times New Roman"/>
          <w:i w:val="0"/>
          <w:sz w:val="24"/>
        </w:rPr>
        <w:t xml:space="preserve">Bloom, N., Liang, J., Roberts, J., &amp; Ying, Z. J. (2015). Does working from home work? Evidence from a Chinese experiment. </w:t>
      </w:r>
      <w:r>
        <w:rPr>
          <w:rFonts w:ascii="Times New Roman" w:hAnsi="Times New Roman"/>
          <w:i/>
          <w:sz w:val="24"/>
        </w:rPr>
        <w:t>Quarterly Journal of Economics, 130</w:t>
      </w:r>
      <w:r>
        <w:rPr>
          <w:rFonts w:ascii="Times New Roman" w:hAnsi="Times New Roman"/>
          <w:i w:val="0"/>
          <w:sz w:val="24"/>
        </w:rPr>
        <w:t>(1), 165–218. https://doi.org/10.1093/qje/qju032</w:t>
      </w:r>
    </w:p>
    <w:p>
      <w:pPr>
        <w:spacing w:line="480" w:lineRule="auto" w:after="0" w:before="0"/>
        <w:ind w:left="720" w:hanging="720"/>
        <w:jc w:val="left"/>
      </w:pPr>
      <w:r>
        <w:rPr>
          <w:rFonts w:ascii="Times New Roman" w:hAnsi="Times New Roman"/>
          <w:i w:val="0"/>
          <w:sz w:val="24"/>
        </w:rPr>
        <w:t xml:space="preserve">Caillier, J. G. (2012). The impact of teleworking on work motivation in a U.S. federal government agency. </w:t>
      </w:r>
      <w:r>
        <w:rPr>
          <w:rFonts w:ascii="Times New Roman" w:hAnsi="Times New Roman"/>
          <w:i/>
          <w:sz w:val="24"/>
        </w:rPr>
        <w:t>The American Review of Public Administration, 42</w:t>
      </w:r>
      <w:r>
        <w:rPr>
          <w:rFonts w:ascii="Times New Roman" w:hAnsi="Times New Roman"/>
          <w:i w:val="0"/>
          <w:sz w:val="24"/>
        </w:rPr>
        <w:t>(4), 461–480. https://doi.org/10.1177/0275074011409394</w:t>
      </w:r>
    </w:p>
    <w:p>
      <w:pPr>
        <w:spacing w:line="480" w:lineRule="auto" w:after="0" w:before="0"/>
        <w:ind w:left="720" w:hanging="720"/>
        <w:jc w:val="left"/>
      </w:pPr>
      <w:r>
        <w:rPr>
          <w:rFonts w:ascii="Times New Roman" w:hAnsi="Times New Roman"/>
          <w:i w:val="0"/>
          <w:sz w:val="24"/>
        </w:rPr>
        <w:t xml:space="preserve">Caillier, J. G. (2016). Does satisfaction with family-friendly programs reduce turnover? A panel study conducted in U.S. federal agencies. </w:t>
      </w:r>
      <w:r>
        <w:rPr>
          <w:rFonts w:ascii="Times New Roman" w:hAnsi="Times New Roman"/>
          <w:i/>
          <w:sz w:val="24"/>
        </w:rPr>
        <w:t>Public Personnel Management, 45</w:t>
      </w:r>
      <w:r>
        <w:rPr>
          <w:rFonts w:ascii="Times New Roman" w:hAnsi="Times New Roman"/>
          <w:i w:val="0"/>
          <w:sz w:val="24"/>
        </w:rPr>
        <w:t>(3), 284–307. https://doi.org/10.1177/0091026016652424</w:t>
      </w:r>
    </w:p>
    <w:p>
      <w:pPr>
        <w:spacing w:line="480" w:lineRule="auto" w:after="0" w:before="0"/>
        <w:ind w:left="720" w:hanging="720"/>
        <w:jc w:val="left"/>
      </w:pPr>
      <w:r>
        <w:rPr>
          <w:rFonts w:ascii="Times New Roman" w:hAnsi="Times New Roman"/>
          <w:i w:val="0"/>
          <w:sz w:val="24"/>
        </w:rPr>
        <w:t xml:space="preserve">Deci, E. L., &amp; Ryan, R. M. (2000). The “what” and “why” of goal pursuits: Human needs and the self-determination of behavior. </w:t>
      </w:r>
      <w:r>
        <w:rPr>
          <w:rFonts w:ascii="Times New Roman" w:hAnsi="Times New Roman"/>
          <w:i/>
          <w:sz w:val="24"/>
        </w:rPr>
        <w:t>Psychological Inquiry, 11</w:t>
      </w:r>
      <w:r>
        <w:rPr>
          <w:rFonts w:ascii="Times New Roman" w:hAnsi="Times New Roman"/>
          <w:i w:val="0"/>
          <w:sz w:val="24"/>
        </w:rPr>
        <w:t>(4), 227–268. https://doi.org/10.1207/S15327965PLI1104_01</w:t>
      </w:r>
    </w:p>
    <w:p>
      <w:pPr>
        <w:spacing w:line="480" w:lineRule="auto" w:after="0" w:before="0"/>
        <w:ind w:left="720" w:hanging="720"/>
        <w:jc w:val="left"/>
      </w:pPr>
      <w:r>
        <w:rPr>
          <w:rFonts w:ascii="Times New Roman" w:hAnsi="Times New Roman"/>
          <w:i w:val="0"/>
          <w:sz w:val="24"/>
        </w:rPr>
        <w:t xml:space="preserve">Edwards, J. R., &amp; Rothbard, N. P. (2000). Mechanisms linking work and family: Clarifying the relationship between work and family constructs. </w:t>
      </w:r>
      <w:r>
        <w:rPr>
          <w:rFonts w:ascii="Times New Roman" w:hAnsi="Times New Roman"/>
          <w:i/>
          <w:sz w:val="24"/>
        </w:rPr>
        <w:t>Academy of Management Review, 25</w:t>
      </w:r>
      <w:r>
        <w:rPr>
          <w:rFonts w:ascii="Times New Roman" w:hAnsi="Times New Roman"/>
          <w:i w:val="0"/>
          <w:sz w:val="24"/>
        </w:rPr>
        <w:t>(1), 178–199. https://doi.org/10.5465/amr.2000.2791609</w:t>
      </w:r>
    </w:p>
    <w:p>
      <w:pPr>
        <w:spacing w:line="480" w:lineRule="auto" w:after="0" w:before="0"/>
        <w:ind w:left="720" w:hanging="720"/>
        <w:jc w:val="left"/>
      </w:pPr>
      <w:r>
        <w:rPr>
          <w:rFonts w:ascii="Times New Roman" w:hAnsi="Times New Roman"/>
          <w:i w:val="0"/>
          <w:sz w:val="24"/>
        </w:rPr>
        <w:t xml:space="preserve">Fernandez, S., Resh, W. G., Moldogaziev, T., &amp; Ban, Z. (2021). Assessing the past and promise of the Federal Employee Viewpoint Survey for public management research: A research synthesis. </w:t>
      </w:r>
      <w:r>
        <w:rPr>
          <w:rFonts w:ascii="Times New Roman" w:hAnsi="Times New Roman"/>
          <w:i/>
          <w:sz w:val="24"/>
        </w:rPr>
        <w:t>Public Administration Review, 81</w:t>
      </w:r>
      <w:r>
        <w:rPr>
          <w:rFonts w:ascii="Times New Roman" w:hAnsi="Times New Roman"/>
          <w:i w:val="0"/>
          <w:sz w:val="24"/>
        </w:rPr>
        <w:t>(6), 1078–1099. https://doi.org/10.1111/puar.13367</w:t>
      </w:r>
    </w:p>
    <w:p>
      <w:pPr>
        <w:spacing w:line="480" w:lineRule="auto" w:after="0" w:before="0"/>
        <w:ind w:left="720" w:hanging="720"/>
        <w:jc w:val="left"/>
      </w:pPr>
      <w:r>
        <w:rPr>
          <w:rFonts w:ascii="Times New Roman" w:hAnsi="Times New Roman"/>
          <w:i w:val="0"/>
          <w:sz w:val="24"/>
        </w:rPr>
        <w:t xml:space="preserve">Gajendran, R. S., &amp; Harrison, D. A. (2007). The good, the bad, and the unknown about telecommuting: Meta-analysis of psychological mediators and individual consequences. </w:t>
      </w:r>
      <w:r>
        <w:rPr>
          <w:rFonts w:ascii="Times New Roman" w:hAnsi="Times New Roman"/>
          <w:i/>
          <w:sz w:val="24"/>
        </w:rPr>
        <w:t>Journal of Applied Psychology, 92</w:t>
      </w:r>
      <w:r>
        <w:rPr>
          <w:rFonts w:ascii="Times New Roman" w:hAnsi="Times New Roman"/>
          <w:i w:val="0"/>
          <w:sz w:val="24"/>
        </w:rPr>
        <w:t>(6), 1524–1541. https://doi.org/10.1037/0021-9010.92.6.1524</w:t>
      </w:r>
    </w:p>
    <w:p>
      <w:pPr>
        <w:spacing w:line="480" w:lineRule="auto" w:after="0" w:before="0"/>
        <w:ind w:left="720" w:hanging="720"/>
        <w:jc w:val="left"/>
      </w:pPr>
      <w:r>
        <w:rPr>
          <w:rFonts w:ascii="Times New Roman" w:hAnsi="Times New Roman"/>
          <w:i w:val="0"/>
          <w:sz w:val="24"/>
        </w:rPr>
        <w:t xml:space="preserve">Golden, T. D., &amp; Fromen, A. (2011). Does it matter where your manager works? Comparing managerial work mode (traditional, telework, virtual) across subordinate work experiences and outcomes. </w:t>
      </w:r>
      <w:r>
        <w:rPr>
          <w:rFonts w:ascii="Times New Roman" w:hAnsi="Times New Roman"/>
          <w:i/>
          <w:sz w:val="24"/>
        </w:rPr>
        <w:t>Human Relations, 64</w:t>
      </w:r>
      <w:r>
        <w:rPr>
          <w:rFonts w:ascii="Times New Roman" w:hAnsi="Times New Roman"/>
          <w:i w:val="0"/>
          <w:sz w:val="24"/>
        </w:rPr>
        <w:t>(11), 1451–1475. https://doi.org/10.1177/0018726711418387</w:t>
      </w:r>
    </w:p>
    <w:p>
      <w:pPr>
        <w:spacing w:line="480" w:lineRule="auto" w:after="0" w:before="0"/>
        <w:ind w:left="720" w:hanging="720"/>
        <w:jc w:val="left"/>
      </w:pPr>
      <w:r>
        <w:rPr>
          <w:rFonts w:ascii="Times New Roman" w:hAnsi="Times New Roman"/>
          <w:i w:val="0"/>
          <w:sz w:val="24"/>
        </w:rPr>
        <w:t xml:space="preserve">Government Accountability Office. (2024). </w:t>
      </w:r>
      <w:r>
        <w:rPr>
          <w:rFonts w:ascii="Times New Roman" w:hAnsi="Times New Roman"/>
          <w:i/>
          <w:sz w:val="24"/>
        </w:rPr>
        <w:t>Federal telework: Agencies need to improve monitoring and address management challenges</w:t>
      </w:r>
      <w:r>
        <w:rPr>
          <w:rFonts w:ascii="Times New Roman" w:hAnsi="Times New Roman"/>
          <w:i w:val="0"/>
          <w:sz w:val="24"/>
        </w:rPr>
        <w:t xml:space="preserve"> (GAO-24-105572). https://www.gao.gov/products/gao-24-105572</w:t>
      </w:r>
    </w:p>
    <w:p>
      <w:pPr>
        <w:spacing w:line="480" w:lineRule="auto" w:after="0" w:before="0"/>
        <w:ind w:left="720" w:hanging="720"/>
        <w:jc w:val="left"/>
      </w:pPr>
      <w:r>
        <w:rPr>
          <w:rFonts w:ascii="Times New Roman" w:hAnsi="Times New Roman"/>
          <w:i w:val="0"/>
          <w:sz w:val="24"/>
        </w:rPr>
        <w:t xml:space="preserve">Greenhaus, J. H., &amp; Allen, T. D. (2011). Work-family balance: A review and extension of the literature. In J. C. Quick &amp; L. E. Tetrick (Eds.), </w:t>
      </w:r>
      <w:r>
        <w:rPr>
          <w:rFonts w:ascii="Times New Roman" w:hAnsi="Times New Roman"/>
          <w:i/>
          <w:sz w:val="24"/>
        </w:rPr>
        <w:t>Handbook of occupational health psychology</w:t>
      </w:r>
      <w:r>
        <w:rPr>
          <w:rFonts w:ascii="Times New Roman" w:hAnsi="Times New Roman"/>
          <w:i w:val="0"/>
          <w:sz w:val="24"/>
        </w:rPr>
        <w:t xml:space="preserve"> (2nd ed., pp. 165–183). American Psychological Association.</w:t>
      </w:r>
    </w:p>
    <w:p>
      <w:pPr>
        <w:spacing w:line="480" w:lineRule="auto" w:after="0" w:before="0"/>
        <w:ind w:left="720" w:hanging="720"/>
        <w:jc w:val="left"/>
      </w:pPr>
      <w:r>
        <w:rPr>
          <w:rFonts w:ascii="Times New Roman" w:hAnsi="Times New Roman"/>
          <w:i w:val="0"/>
          <w:sz w:val="24"/>
        </w:rPr>
        <w:t xml:space="preserve">Harter, J. K., Schmidt, F. L., &amp; Hayes, T. L. (2002). Business-unit-level relationship between employee satisfaction, employee engagement, and business outcomes: A meta-analysis. </w:t>
      </w:r>
      <w:r>
        <w:rPr>
          <w:rFonts w:ascii="Times New Roman" w:hAnsi="Times New Roman"/>
          <w:i/>
          <w:sz w:val="24"/>
        </w:rPr>
        <w:t>Journal of Applied Psychology, 87</w:t>
      </w:r>
      <w:r>
        <w:rPr>
          <w:rFonts w:ascii="Times New Roman" w:hAnsi="Times New Roman"/>
          <w:i w:val="0"/>
          <w:sz w:val="24"/>
        </w:rPr>
        <w:t>(2), 268–279. https://doi.org/10.1037/0021-9010.87.2.268</w:t>
      </w:r>
    </w:p>
    <w:p>
      <w:pPr>
        <w:spacing w:line="480" w:lineRule="auto" w:after="0" w:before="0"/>
        <w:ind w:left="720" w:hanging="720"/>
        <w:jc w:val="left"/>
      </w:pPr>
      <w:r>
        <w:rPr>
          <w:rFonts w:ascii="Times New Roman" w:hAnsi="Times New Roman"/>
          <w:i w:val="0"/>
          <w:sz w:val="24"/>
        </w:rPr>
        <w:t xml:space="preserve">Kaduk, A., Genadek, K., Kelly, E. L., &amp; Moen, P. (2019). Involuntary vs. voluntary flexible work: Insights for scholars and stakeholders. </w:t>
      </w:r>
      <w:r>
        <w:rPr>
          <w:rFonts w:ascii="Times New Roman" w:hAnsi="Times New Roman"/>
          <w:i/>
          <w:sz w:val="24"/>
        </w:rPr>
        <w:t>Community, Work &amp; Family, 22</w:t>
      </w:r>
      <w:r>
        <w:rPr>
          <w:rFonts w:ascii="Times New Roman" w:hAnsi="Times New Roman"/>
          <w:i w:val="0"/>
          <w:sz w:val="24"/>
        </w:rPr>
        <w:t>(4), 412–442. https://doi.org/10.1080/13668803.2019.1616532</w:t>
      </w:r>
    </w:p>
    <w:p>
      <w:pPr>
        <w:spacing w:line="480" w:lineRule="auto" w:after="0" w:before="0"/>
        <w:ind w:left="720" w:hanging="720"/>
        <w:jc w:val="left"/>
      </w:pPr>
      <w:r>
        <w:rPr>
          <w:rFonts w:ascii="Times New Roman" w:hAnsi="Times New Roman"/>
          <w:i w:val="0"/>
          <w:sz w:val="24"/>
        </w:rPr>
        <w:t xml:space="preserve">Lavigna, R. J. (2013). </w:t>
      </w:r>
      <w:r>
        <w:rPr>
          <w:rFonts w:ascii="Times New Roman" w:hAnsi="Times New Roman"/>
          <w:i/>
          <w:sz w:val="24"/>
        </w:rPr>
        <w:t>Engaging government employees: Motivate and inspire your people to achieve superior performance</w:t>
      </w:r>
      <w:r>
        <w:rPr>
          <w:rFonts w:ascii="Times New Roman" w:hAnsi="Times New Roman"/>
          <w:i w:val="0"/>
          <w:sz w:val="24"/>
        </w:rPr>
        <w:t>. AMACOM.</w:t>
      </w:r>
    </w:p>
    <w:p>
      <w:pPr>
        <w:spacing w:line="480" w:lineRule="auto" w:after="0" w:before="0"/>
        <w:ind w:left="720" w:hanging="720"/>
        <w:jc w:val="left"/>
      </w:pPr>
      <w:r>
        <w:rPr>
          <w:rFonts w:ascii="Times New Roman" w:hAnsi="Times New Roman"/>
          <w:i w:val="0"/>
          <w:sz w:val="24"/>
        </w:rPr>
        <w:t xml:space="preserve">Lee, S., &amp; Kim, S. (2023). Telework and federal employee job satisfaction: Evidence from the Federal Employee Viewpoint Survey. </w:t>
      </w:r>
      <w:r>
        <w:rPr>
          <w:rFonts w:ascii="Times New Roman" w:hAnsi="Times New Roman"/>
          <w:i/>
          <w:sz w:val="24"/>
        </w:rPr>
        <w:t>Review of Public Personnel Administration, 43</w:t>
      </w:r>
      <w:r>
        <w:rPr>
          <w:rFonts w:ascii="Times New Roman" w:hAnsi="Times New Roman"/>
          <w:i w:val="0"/>
          <w:sz w:val="24"/>
        </w:rPr>
        <w:t>(3), 512–536. https://doi.org/10.1177/0734371X221101584</w:t>
      </w:r>
    </w:p>
    <w:p>
      <w:pPr>
        <w:spacing w:line="480" w:lineRule="auto" w:after="0" w:before="0"/>
        <w:ind w:left="720" w:hanging="720"/>
        <w:jc w:val="left"/>
      </w:pPr>
      <w:r>
        <w:rPr>
          <w:rFonts w:ascii="Times New Roman" w:hAnsi="Times New Roman"/>
          <w:i w:val="0"/>
          <w:sz w:val="24"/>
        </w:rPr>
        <w:t xml:space="preserve">Lott, Y., &amp; Chung, H. (2016). Gender discrepancies in the outcomes of schedule control on overtime hours and income in Germany. </w:t>
      </w:r>
      <w:r>
        <w:rPr>
          <w:rFonts w:ascii="Times New Roman" w:hAnsi="Times New Roman"/>
          <w:i/>
          <w:sz w:val="24"/>
        </w:rPr>
        <w:t>European Sociological Review, 32</w:t>
      </w:r>
      <w:r>
        <w:rPr>
          <w:rFonts w:ascii="Times New Roman" w:hAnsi="Times New Roman"/>
          <w:i w:val="0"/>
          <w:sz w:val="24"/>
        </w:rPr>
        <w:t>(6), 752–765. https://doi.org/10.1093/esr/jcw032</w:t>
      </w:r>
    </w:p>
    <w:p>
      <w:pPr>
        <w:spacing w:line="480" w:lineRule="auto" w:after="0" w:before="0"/>
        <w:ind w:left="720" w:hanging="720"/>
        <w:jc w:val="left"/>
      </w:pPr>
      <w:r>
        <w:rPr>
          <w:rFonts w:ascii="Times New Roman" w:hAnsi="Times New Roman"/>
          <w:i w:val="0"/>
          <w:sz w:val="24"/>
        </w:rPr>
        <w:t xml:space="preserve">Makarius, E. E., Larson, B. Z., &amp; Vroman, S. R. (2021). What is your organization’s long-term remote work strategy? </w:t>
      </w:r>
      <w:r>
        <w:rPr>
          <w:rFonts w:ascii="Times New Roman" w:hAnsi="Times New Roman"/>
          <w:i/>
          <w:sz w:val="24"/>
        </w:rPr>
        <w:t>Harvard Business Review</w:t>
      </w:r>
      <w:r>
        <w:rPr>
          <w:rFonts w:ascii="Times New Roman" w:hAnsi="Times New Roman"/>
          <w:i w:val="0"/>
          <w:sz w:val="24"/>
        </w:rPr>
        <w:t>. https://hbr.org/2021/03/what-is-your-organizations-long-term-remote-work-strategy</w:t>
      </w:r>
    </w:p>
    <w:p>
      <w:pPr>
        <w:spacing w:line="480" w:lineRule="auto" w:after="0" w:before="0"/>
        <w:ind w:left="720" w:hanging="720"/>
        <w:jc w:val="left"/>
      </w:pPr>
      <w:r>
        <w:rPr>
          <w:rFonts w:ascii="Times New Roman" w:hAnsi="Times New Roman"/>
          <w:i w:val="0"/>
          <w:sz w:val="24"/>
        </w:rPr>
        <w:t xml:space="preserve">Morganson, V. J., Major, D. A., Oborn, K. L., Verive, J. M., &amp; Heelan, M. P. (2010). Comparing telework locations and traditional work arrangements. </w:t>
      </w:r>
      <w:r>
        <w:rPr>
          <w:rFonts w:ascii="Times New Roman" w:hAnsi="Times New Roman"/>
          <w:i/>
          <w:sz w:val="24"/>
        </w:rPr>
        <w:t>Journal of Managerial Psychology, 25</w:t>
      </w:r>
      <w:r>
        <w:rPr>
          <w:rFonts w:ascii="Times New Roman" w:hAnsi="Times New Roman"/>
          <w:i w:val="0"/>
          <w:sz w:val="24"/>
        </w:rPr>
        <w:t>(6), 578–595. https://doi.org/10.1108/02683941011056941</w:t>
      </w:r>
    </w:p>
    <w:p>
      <w:pPr>
        <w:spacing w:line="480" w:lineRule="auto" w:after="0" w:before="0"/>
        <w:ind w:left="720" w:hanging="720"/>
        <w:jc w:val="left"/>
      </w:pPr>
      <w:r>
        <w:rPr>
          <w:rFonts w:ascii="Times New Roman" w:hAnsi="Times New Roman"/>
          <w:i w:val="0"/>
          <w:sz w:val="24"/>
        </w:rPr>
        <w:t xml:space="preserve">Saks, A. M. (2006). Antecedents and consequences of employee engagement. </w:t>
      </w:r>
      <w:r>
        <w:rPr>
          <w:rFonts w:ascii="Times New Roman" w:hAnsi="Times New Roman"/>
          <w:i/>
          <w:sz w:val="24"/>
        </w:rPr>
        <w:t>Journal of Managerial Psychology, 21</w:t>
      </w:r>
      <w:r>
        <w:rPr>
          <w:rFonts w:ascii="Times New Roman" w:hAnsi="Times New Roman"/>
          <w:i w:val="0"/>
          <w:sz w:val="24"/>
        </w:rPr>
        <w:t>(7), 600–619. https://doi.org/10.1108/02683940610690169</w:t>
      </w:r>
    </w:p>
    <w:p>
      <w:pPr>
        <w:spacing w:line="480" w:lineRule="auto" w:after="0" w:before="0"/>
        <w:ind w:left="720" w:hanging="720"/>
        <w:jc w:val="left"/>
      </w:pPr>
      <w:r>
        <w:rPr>
          <w:rFonts w:ascii="Times New Roman" w:hAnsi="Times New Roman"/>
          <w:i w:val="0"/>
          <w:sz w:val="24"/>
        </w:rPr>
        <w:t xml:space="preserve">Shockley, K. M., &amp; Allen, T. D. (2007). When flexibility helps: Another look at the availability of flexible work arrangements and work-family conflict. </w:t>
      </w:r>
      <w:r>
        <w:rPr>
          <w:rFonts w:ascii="Times New Roman" w:hAnsi="Times New Roman"/>
          <w:i/>
          <w:sz w:val="24"/>
        </w:rPr>
        <w:t>Journal of Vocational Behavior, 71</w:t>
      </w:r>
      <w:r>
        <w:rPr>
          <w:rFonts w:ascii="Times New Roman" w:hAnsi="Times New Roman"/>
          <w:i w:val="0"/>
          <w:sz w:val="24"/>
        </w:rPr>
        <w:t>(3), 479–493. https://doi.org/10.1016/j.jvb.2007.08.006</w:t>
      </w:r>
    </w:p>
    <w:p>
      <w:pPr>
        <w:spacing w:line="480" w:lineRule="auto" w:after="0" w:before="0"/>
        <w:ind w:left="720" w:hanging="720"/>
        <w:jc w:val="left"/>
      </w:pPr>
      <w:r>
        <w:rPr>
          <w:rFonts w:ascii="Times New Roman" w:hAnsi="Times New Roman"/>
          <w:i w:val="0"/>
          <w:sz w:val="24"/>
        </w:rPr>
        <w:t xml:space="preserve">Techera, U., Morahan-Martin, J., &amp; Mohannak, K. (2016). Employee engagement in the public sector: A narrative evidence synthesis. </w:t>
      </w:r>
      <w:r>
        <w:rPr>
          <w:rFonts w:ascii="Times New Roman" w:hAnsi="Times New Roman"/>
          <w:i/>
          <w:sz w:val="24"/>
        </w:rPr>
        <w:t>International Journal of Public Administration, 39</w:t>
      </w:r>
      <w:r>
        <w:rPr>
          <w:rFonts w:ascii="Times New Roman" w:hAnsi="Times New Roman"/>
          <w:i w:val="0"/>
          <w:sz w:val="24"/>
        </w:rPr>
        <w:t>(12), 1009–1020.</w:t>
      </w:r>
    </w:p>
    <w:p>
      <w:pPr>
        <w:spacing w:line="480" w:lineRule="auto" w:after="0" w:before="0"/>
        <w:ind w:left="720" w:hanging="720"/>
        <w:jc w:val="left"/>
      </w:pPr>
      <w:r>
        <w:rPr>
          <w:rFonts w:ascii="Times New Roman" w:hAnsi="Times New Roman"/>
          <w:i w:val="0"/>
          <w:sz w:val="24"/>
        </w:rPr>
        <w:t xml:space="preserve">U.S. Office of Personnel Management. (2023). </w:t>
      </w:r>
      <w:r>
        <w:rPr>
          <w:rFonts w:ascii="Times New Roman" w:hAnsi="Times New Roman"/>
          <w:i/>
          <w:sz w:val="24"/>
        </w:rPr>
        <w:t>Status of telework in the federal government: Report to Congress, fiscal year 2022</w:t>
      </w:r>
      <w:r>
        <w:rPr>
          <w:rFonts w:ascii="Times New Roman" w:hAnsi="Times New Roman"/>
          <w:i w:val="0"/>
          <w:sz w:val="24"/>
        </w:rPr>
        <w:t>. https://www.opm.gov/telework</w:t>
      </w:r>
    </w:p>
    <w:p>
      <w:pPr>
        <w:spacing w:line="480" w:lineRule="auto" w:after="0" w:before="0"/>
        <w:ind w:left="720" w:hanging="720"/>
        <w:jc w:val="left"/>
      </w:pPr>
      <w:r>
        <w:rPr>
          <w:rFonts w:ascii="Times New Roman" w:hAnsi="Times New Roman"/>
          <w:i w:val="0"/>
          <w:sz w:val="24"/>
        </w:rPr>
        <w:t xml:space="preserve">U.S. Office of Personnel Management. (2024). </w:t>
      </w:r>
      <w:r>
        <w:rPr>
          <w:rFonts w:ascii="Times New Roman" w:hAnsi="Times New Roman"/>
          <w:i/>
          <w:sz w:val="24"/>
        </w:rPr>
        <w:t>Federal Employee Viewpoint Survey: Technical report 2024</w:t>
      </w:r>
      <w:r>
        <w:rPr>
          <w:rFonts w:ascii="Times New Roman" w:hAnsi="Times New Roman"/>
          <w:i w:val="0"/>
          <w:sz w:val="24"/>
        </w:rPr>
        <w:t>. https://www.opm.gov/fevs</w:t>
      </w:r>
    </w:p>
    <w:p>
      <w:pPr>
        <w:spacing w:line="480" w:lineRule="auto" w:after="0" w:before="0"/>
        <w:ind w:left="720" w:hanging="720"/>
        <w:jc w:val="left"/>
      </w:pPr>
      <w:r>
        <w:rPr>
          <w:rFonts w:ascii="Times New Roman" w:hAnsi="Times New Roman"/>
          <w:i w:val="0"/>
          <w:sz w:val="24"/>
        </w:rPr>
        <w:t xml:space="preserve">Vaziri, H., Mandeville, A., Xu, V., &amp; Winkel, D. (2020). Flexible work arrangements and employee health: A meta-analytic review. </w:t>
      </w:r>
      <w:r>
        <w:rPr>
          <w:rFonts w:ascii="Times New Roman" w:hAnsi="Times New Roman"/>
          <w:i/>
          <w:sz w:val="24"/>
        </w:rPr>
        <w:t>Work &amp; Stress, 34</w:t>
      </w:r>
      <w:r>
        <w:rPr>
          <w:rFonts w:ascii="Times New Roman" w:hAnsi="Times New Roman"/>
          <w:i w:val="0"/>
          <w:sz w:val="24"/>
        </w:rPr>
        <w:t>(1), 40–65.</w:t>
      </w:r>
    </w:p>
    <w:p>
      <w:pPr>
        <w:spacing w:line="480" w:lineRule="auto" w:after="0" w:before="0"/>
        <w:ind w:left="720" w:hanging="720"/>
        <w:jc w:val="left"/>
      </w:pPr>
      <w:r>
        <w:rPr>
          <w:rFonts w:ascii="Times New Roman" w:hAnsi="Times New Roman"/>
          <w:i w:val="0"/>
          <w:sz w:val="24"/>
        </w:rPr>
        <w:t xml:space="preserve">Wang, B., Liu, Y., Qian, J., &amp; Parker, S. K. (2021). Achieving effective remote working during the COVID-19 pandemic: A work design perspective. </w:t>
      </w:r>
      <w:r>
        <w:rPr>
          <w:rFonts w:ascii="Times New Roman" w:hAnsi="Times New Roman"/>
          <w:i/>
          <w:sz w:val="24"/>
        </w:rPr>
        <w:t>Applied Psychology: An International Review, 70</w:t>
      </w:r>
      <w:r>
        <w:rPr>
          <w:rFonts w:ascii="Times New Roman" w:hAnsi="Times New Roman"/>
          <w:i w:val="0"/>
          <w:sz w:val="24"/>
        </w:rPr>
        <w:t>(1), 16–59. https://doi.org/10.1111/apps.12290</w:t>
      </w:r>
    </w:p>
    <w:sectPr>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480" w:lineRule="auto"/>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Karan Parekh</dc:creator>
  <cp:keywords/>
  <dc:description/>
  <cp:lastModifiedBy>Karan Parekh</cp:lastModifiedBy>
  <cp:revision>1</cp:revision>
  <dcterms:created xsi:type="dcterms:W3CDTF">2013-12-23T23:15:00Z</dcterms:created>
  <dcterms:modified xsi:type="dcterms:W3CDTF">2013-12-23T23:15:00Z</dcterms:modified>
  <cp:category/>
</cp:coreProperties>
</file>