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4"/>
        </w:rPr>
        <w:t>Industry and Scholarly Review:</w:t>
      </w:r>
    </w:p>
    <w:p>
      <w:pPr>
        <w:jc w:val="center"/>
      </w:pPr>
      <w:r>
        <w:rPr>
          <w:rFonts w:ascii="Times New Roman" w:hAnsi="Times New Roman"/>
          <w:b/>
          <w:sz w:val="24"/>
        </w:rPr>
        <w:t>Remote Work, Work-Life Balance, and Federal Employee Job Satisfaction</w:t>
      </w:r>
    </w:p>
    <w:p/>
    <w:p>
      <w:pPr>
        <w:jc w:val="center"/>
      </w:pPr>
      <w:r>
        <w:rPr>
          <w:rFonts w:ascii="Times New Roman" w:hAnsi="Times New Roman"/>
          <w:sz w:val="24"/>
        </w:rPr>
        <w:t>Karan Parekh</w:t>
      </w:r>
    </w:p>
    <w:p>
      <w:pPr>
        <w:jc w:val="center"/>
      </w:pPr>
      <w:r>
        <w:rPr>
          <w:rFonts w:ascii="Times New Roman" w:hAnsi="Times New Roman"/>
          <w:sz w:val="24"/>
        </w:rPr>
        <w:t>ADTA 5940 — Analytics Capstone Experience</w:t>
      </w:r>
    </w:p>
    <w:p>
      <w:pPr>
        <w:jc w:val="center"/>
      </w:pPr>
      <w:r>
        <w:rPr>
          <w:rFonts w:ascii="Times New Roman" w:hAnsi="Times New Roman"/>
          <w:sz w:val="24"/>
        </w:rPr>
        <w:t>University of North Texas</w:t>
      </w:r>
    </w:p>
    <w:p>
      <w:pPr>
        <w:jc w:val="center"/>
      </w:pPr>
      <w:r>
        <w:rPr>
          <w:rFonts w:ascii="Times New Roman" w:hAnsi="Times New Roman"/>
          <w:sz w:val="24"/>
        </w:rPr>
        <w:t>Spring 2026</w:t>
      </w:r>
    </w:p>
    <w:p>
      <w:r>
        <w:br w:type="page"/>
      </w:r>
    </w:p>
    <w:p>
      <w:pPr>
        <w:spacing w:before="240" w:line="480" w:lineRule="auto"/>
        <w:jc w:val="center"/>
      </w:pPr>
      <w:r>
        <w:rPr>
          <w:rFonts w:ascii="Times New Roman" w:hAnsi="Times New Roman"/>
          <w:b/>
          <w:sz w:val="24"/>
        </w:rPr>
        <w:t>Introduction</w:t>
      </w:r>
    </w:p>
    <w:p>
      <w:pPr>
        <w:spacing w:line="480" w:lineRule="auto" w:after="0" w:before="0"/>
        <w:ind w:firstLine="720"/>
        <w:jc w:val="both"/>
      </w:pPr>
      <w:r>
        <w:rPr>
          <w:rFonts w:ascii="Times New Roman" w:hAnsi="Times New Roman"/>
          <w:sz w:val="24"/>
        </w:rPr>
        <w:t>Over the past five years, the way federal employees work has changed more dramatically than at any point since the civil service reforms of the 1970s. What started as an emergency response to COVID-19 quickly turned into a full-blown rethinking of where, when, and how government work gets done. By 2024, the federal workforce found itself caught between two competing forces: a growing body of evidence that flexible work arrangements boost morale and retention, and political pressure to bring workers back into offices. This tension makes the topic of remote work, work-life balance, and employee satisfaction especially relevant right now.</w:t>
      </w:r>
    </w:p>
    <w:p>
      <w:pPr>
        <w:spacing w:line="480" w:lineRule="auto" w:after="0" w:before="0"/>
        <w:ind w:firstLine="720"/>
        <w:jc w:val="both"/>
      </w:pPr>
      <w:r>
        <w:rPr>
          <w:rFonts w:ascii="Times New Roman" w:hAnsi="Times New Roman"/>
          <w:sz w:val="24"/>
        </w:rPr>
        <w:t>This review pulls together research from academic journals, government reports, and industry publications to lay the groundwork for an empirical analysis of the 2024 Federal Employee Viewpoint Survey (FEVS). The goal is not just to summarize what researchers have found, but to connect those findings to the practical realities facing federal agencies today. The review covers five areas: how telework has evolved in the federal government, what current industry trends tell us about the future of remote work, the theoretical models that help explain why flexible work matters, what the research says about work-life balance and engagement as drivers of satisfaction, and where the gaps in the existing literature leave room for new analysis.</w:t>
      </w:r>
    </w:p>
    <w:p>
      <w:pPr>
        <w:spacing w:before="240" w:line="480" w:lineRule="auto"/>
        <w:jc w:val="center"/>
      </w:pPr>
      <w:r>
        <w:rPr>
          <w:rFonts w:ascii="Times New Roman" w:hAnsi="Times New Roman"/>
          <w:b/>
          <w:sz w:val="24"/>
        </w:rPr>
        <w:t>How Federal Telework Got to Where It Is Today</w:t>
      </w:r>
    </w:p>
    <w:p>
      <w:pPr>
        <w:spacing w:line="480" w:lineRule="auto" w:after="0" w:before="0"/>
        <w:ind w:firstLine="720"/>
        <w:jc w:val="both"/>
      </w:pPr>
      <w:r>
        <w:rPr>
          <w:rFonts w:ascii="Times New Roman" w:hAnsi="Times New Roman"/>
          <w:sz w:val="24"/>
        </w:rPr>
        <w:t>The federal government’s relationship with telework did not start with the pandemic. Congress passed the Telework Enhancement Act back in 2010, which required every executive agency to set up a formal telework policy and appoint a Telework Managing Officer (OPM, 2023). But for the better part of a decade, progress was slow. Many managers were skeptical, and the culture in most agencies still equated being present in the office with being productive. By 2019, only about 40% of eligible federal employees were teleworking at all, and most of them only did so occasionally.</w:t>
      </w:r>
    </w:p>
    <w:p>
      <w:pPr>
        <w:spacing w:line="480" w:lineRule="auto" w:after="0" w:before="0"/>
        <w:ind w:firstLine="720"/>
        <w:jc w:val="both"/>
      </w:pPr>
      <w:r>
        <w:rPr>
          <w:rFonts w:ascii="Times New Roman" w:hAnsi="Times New Roman"/>
          <w:sz w:val="24"/>
        </w:rPr>
        <w:t>That changed almost overnight in March 2020. When the pandemic hit, agencies scrambled to move hundreds of thousands of workers to remote setups. What had been a gradual policy experiment became the default way of working. OPM’s annual telework report to Congress noted that telework participation jumped to over 60% during fiscal year 2020, with many employees working remotely full-time for the first time in their careers (OPM, 2023). For a workforce that had long been associated with cubicles and government buildings, this was a seismic shift.</w:t>
      </w:r>
    </w:p>
    <w:p>
      <w:pPr>
        <w:spacing w:line="480" w:lineRule="auto" w:after="0" w:before="0"/>
        <w:ind w:firstLine="720"/>
        <w:jc w:val="both"/>
      </w:pPr>
      <w:r>
        <w:rPr>
          <w:rFonts w:ascii="Times New Roman" w:hAnsi="Times New Roman"/>
          <w:sz w:val="24"/>
        </w:rPr>
        <w:t>The real debate started during the return. By 2023, several executive orders and congressional directives pushed for increased in-office presence. The Government Accountability Office released a report in 2024 finding that many federal buildings were still significantly underutilized, with some headquarters averaging only 25% occupancy (GAO, 2024). This fueled arguments that taxpayer-funded office space was being wasted. On the other side, federal employee unions and workforce advocates pointed to survey data showing that telework was one of the top factors in recruitment and retention, particularly for younger workers and those in high-cost metro areas (National Treasury Employees Union, 2023). The 2024 FEVS was administered right in the middle of this tug-of-war, making it a uniquely valuable snapshot of how these policy shifts are actually landing with employees.</w:t>
      </w:r>
    </w:p>
    <w:p>
      <w:pPr>
        <w:spacing w:before="240" w:line="480" w:lineRule="auto"/>
        <w:jc w:val="center"/>
      </w:pPr>
      <w:r>
        <w:rPr>
          <w:rFonts w:ascii="Times New Roman" w:hAnsi="Times New Roman"/>
          <w:b/>
          <w:sz w:val="24"/>
        </w:rPr>
        <w:t>Current Industry Trends in Remote and Hybrid Work</w:t>
      </w:r>
    </w:p>
    <w:p>
      <w:pPr>
        <w:spacing w:line="480" w:lineRule="auto" w:after="0" w:before="0"/>
        <w:ind w:firstLine="720"/>
        <w:jc w:val="both"/>
      </w:pPr>
      <w:r>
        <w:rPr>
          <w:rFonts w:ascii="Times New Roman" w:hAnsi="Times New Roman"/>
          <w:sz w:val="24"/>
        </w:rPr>
        <w:t>The federal government is not operating in a vacuum. Across the private sector, remote and hybrid work arrangements have become the norm rather than the exception for knowledge workers. A widely cited survey by McKinsey found that 58% of Americans had the opportunity to work from home at least one day per week as of 2023, and 87% of workers who were offered flexibility took it (McKinsey Global Institute, 2023). The consulting firm also noted that flexibility had become the third most common reason people cited for seeking a new job, behind only pay and career advancement.</w:t>
      </w:r>
    </w:p>
    <w:p>
      <w:pPr>
        <w:spacing w:line="480" w:lineRule="auto" w:after="0" w:before="0"/>
        <w:ind w:firstLine="720"/>
        <w:jc w:val="both"/>
      </w:pPr>
      <w:r>
        <w:rPr>
          <w:rFonts w:ascii="Times New Roman" w:hAnsi="Times New Roman"/>
          <w:sz w:val="24"/>
        </w:rPr>
        <w:t>Stanford economist Nicholas Bloom, who has studied remote work for over a decade, published results from a large-scale experiment at a multinational company showing that hybrid schedules—specifically three days in the office and two at home—reduced employee turnover by 33% while having no measurable impact on performance reviews or promotions (Bloom, 2024). His research suggests that hybrid is the equilibrium model most organizations are settling into, and that forcing a full return to office risks losing talent to competitors who offer flexibility.</w:t>
      </w:r>
    </w:p>
    <w:p>
      <w:pPr>
        <w:spacing w:line="480" w:lineRule="auto" w:after="0" w:before="0"/>
        <w:ind w:firstLine="720"/>
        <w:jc w:val="both"/>
      </w:pPr>
      <w:r>
        <w:rPr>
          <w:rFonts w:ascii="Times New Roman" w:hAnsi="Times New Roman"/>
          <w:sz w:val="24"/>
        </w:rPr>
        <w:t>For the federal government, these private-sector trends create a competitive headwind. If agencies require five days in the office while private employers offer two or three days of remote work, recruiting becomes harder—especially for IT, data science, and cybersecurity roles where competition for talent is fierce. The Partnership for Public Service (2023) flagged this concern in its annual assessment of the federal workforce, noting that agencies already struggle to attract workers under 30 and that inflexible work policies risk widening that gap. This industry context matters because it shapes the expectations federal employees bring to their own jobs, which in turn influences how they respond to satisfaction surveys like the FEVS.</w:t>
      </w:r>
    </w:p>
    <w:p>
      <w:pPr>
        <w:spacing w:line="480" w:lineRule="auto" w:after="0" w:before="0"/>
        <w:ind w:firstLine="720"/>
        <w:jc w:val="both"/>
      </w:pPr>
      <w:r>
        <w:rPr>
          <w:rFonts w:ascii="Times New Roman" w:hAnsi="Times New Roman"/>
          <w:sz w:val="24"/>
        </w:rPr>
        <w:t>Another relevant trend is the rise of data-driven workforce analytics. Organizations in both the public and private sectors are increasingly using employee survey data to make decisions about workplace policy rather than relying on anecdote or tradition (Barrero et al., 2023). The FEVS itself has become a more prominent tool in this regard. OPM has expanded the survey instrument over the years, and the 2024 wave includes refined items on telework frequency, work-life balance, and engagement that provide richer data for analysis than earlier versions (OPM, 2024).</w:t>
      </w:r>
    </w:p>
    <w:p>
      <w:pPr>
        <w:spacing w:before="240" w:line="480" w:lineRule="auto"/>
        <w:jc w:val="center"/>
      </w:pPr>
      <w:r>
        <w:rPr>
          <w:rFonts w:ascii="Times New Roman" w:hAnsi="Times New Roman"/>
          <w:b/>
          <w:sz w:val="24"/>
        </w:rPr>
        <w:t>Theoretical Background</w:t>
      </w:r>
    </w:p>
    <w:p>
      <w:pPr>
        <w:spacing w:before="120" w:line="480" w:lineRule="auto"/>
        <w:jc w:val="left"/>
      </w:pPr>
      <w:r>
        <w:rPr>
          <w:rFonts w:ascii="Times New Roman" w:hAnsi="Times New Roman"/>
          <w:b/>
          <w:i/>
          <w:sz w:val="24"/>
        </w:rPr>
        <w:t>Job Demands-Resources Model</w:t>
      </w:r>
    </w:p>
    <w:p>
      <w:pPr>
        <w:spacing w:line="480" w:lineRule="auto" w:after="0" w:before="0"/>
        <w:ind w:firstLine="720"/>
        <w:jc w:val="both"/>
      </w:pPr>
      <w:r>
        <w:rPr>
          <w:rFonts w:ascii="Times New Roman" w:hAnsi="Times New Roman"/>
          <w:sz w:val="24"/>
        </w:rPr>
        <w:t>Several theoretical frameworks from organizational psychology help explain why telework might influence job satisfaction. The Job Demands-Resources model, often abbreviated JD-R, is probably the most widely cited in this space (Bakker &amp; Demerouti, 2017). The basic idea is straightforward: every job has things that drain energy (demands like long commutes, rigid schedules, or excessive meetings) and things that replenish it (resources like autonomy, supportive supervisors, or professional development). Telework fits neatly into the resources category because it gives people more control over their day and eliminates the commute, which for many federal workers in the D.C. area can be well over an hour each way.</w:t>
      </w:r>
    </w:p>
    <w:p>
      <w:pPr>
        <w:spacing w:line="480" w:lineRule="auto" w:after="0" w:before="0"/>
        <w:ind w:firstLine="720"/>
        <w:jc w:val="both"/>
      </w:pPr>
      <w:r>
        <w:rPr>
          <w:rFonts w:ascii="Times New Roman" w:hAnsi="Times New Roman"/>
          <w:sz w:val="24"/>
        </w:rPr>
        <w:t>Gajendran and Harrison (2007) conducted a meta-analysis of 46 studies and found that telecommuting was associated with higher job satisfaction, lower role stress, and reduced turnover intentions. Importantly, they found that these benefits were strongest for employees who teleworked at moderate intensities—a few days a week, not all the time. This aligns with the JD-R idea that some face-to-face interaction serves as a resource too, and that going fully remote can actually create new demands like isolation.</w:t>
      </w:r>
    </w:p>
    <w:p>
      <w:pPr>
        <w:spacing w:before="120" w:line="480" w:lineRule="auto"/>
        <w:jc w:val="left"/>
      </w:pPr>
      <w:r>
        <w:rPr>
          <w:rFonts w:ascii="Times New Roman" w:hAnsi="Times New Roman"/>
          <w:b/>
          <w:i/>
          <w:sz w:val="24"/>
        </w:rPr>
        <w:t>Self-Determination Theory</w:t>
      </w:r>
    </w:p>
    <w:p>
      <w:pPr>
        <w:spacing w:line="480" w:lineRule="auto" w:after="0" w:before="0"/>
        <w:ind w:firstLine="720"/>
        <w:jc w:val="both"/>
      </w:pPr>
      <w:r>
        <w:rPr>
          <w:rFonts w:ascii="Times New Roman" w:hAnsi="Times New Roman"/>
          <w:sz w:val="24"/>
        </w:rPr>
        <w:t>Self-Determination Theory, developed by Deci and Ryan (2000), takes a different angle by focusing on what people fundamentally need to feel motivated. The theory says we all have three core needs: autonomy (feeling in control of our choices), competence (feeling effective at what we do), and relatedness (feeling connected to others). Remote work clearly supports autonomy—you choose when to take a break, how to organize your workspace, and often how to structure your day. But it can undermine relatedness if people start feeling cut off from their team, especially if communication becomes transactional rather than relational (Wang et al., 2021).</w:t>
      </w:r>
    </w:p>
    <w:p>
      <w:pPr>
        <w:spacing w:before="120" w:line="480" w:lineRule="auto"/>
        <w:jc w:val="left"/>
      </w:pPr>
      <w:r>
        <w:rPr>
          <w:rFonts w:ascii="Times New Roman" w:hAnsi="Times New Roman"/>
          <w:b/>
          <w:i/>
          <w:sz w:val="24"/>
        </w:rPr>
        <w:t>Work-Family Spillover</w:t>
      </w:r>
    </w:p>
    <w:p>
      <w:pPr>
        <w:spacing w:line="480" w:lineRule="auto" w:after="0" w:before="0"/>
        <w:ind w:firstLine="720"/>
        <w:jc w:val="both"/>
      </w:pPr>
      <w:r>
        <w:rPr>
          <w:rFonts w:ascii="Times New Roman" w:hAnsi="Times New Roman"/>
          <w:sz w:val="24"/>
        </w:rPr>
        <w:t>A third relevant framework is spillover theory, which describes how experiences in one life domain bleed into another (Edwards &amp; Rothbard, 2000). When telework goes well, it creates positive spillover: people feel less rushed, can handle a quick personal errand during lunch, and arrive at family time less stressed. When it goes poorly—say, a manager expects responses at all hours because “you’re always available”—it creates negative spillover that drags down both work and home life. Allen et al. (2015) reviewed two decades of telecommuting research and concluded that the balance of positive versus negative spillover depends heavily on organizational norms and supervisor behavior, not just the telework policy itself. This is a key insight for the federal context, where agency culture varies widely.</w:t>
      </w:r>
    </w:p>
    <w:p>
      <w:pPr>
        <w:spacing w:before="240" w:line="480" w:lineRule="auto"/>
        <w:jc w:val="center"/>
      </w:pPr>
      <w:r>
        <w:rPr>
          <w:rFonts w:ascii="Times New Roman" w:hAnsi="Times New Roman"/>
          <w:b/>
          <w:sz w:val="24"/>
        </w:rPr>
        <w:t>What the Research Shows About Work-Life Balance and Satisfaction</w:t>
      </w:r>
    </w:p>
    <w:p>
      <w:pPr>
        <w:spacing w:line="480" w:lineRule="auto" w:after="0" w:before="0"/>
        <w:ind w:firstLine="720"/>
        <w:jc w:val="both"/>
      </w:pPr>
      <w:r>
        <w:rPr>
          <w:rFonts w:ascii="Times New Roman" w:hAnsi="Times New Roman"/>
          <w:sz w:val="24"/>
        </w:rPr>
        <w:t>If there is one finding that comes up again and again in this literature, it is that work-life balance matters enormously for job satisfaction—and that telework is a means to that end, not an end in itself. Greenhaus and Allen (2011) defined work-life balance as the degree to which someone’s effectiveness and satisfaction in their work and family roles match their personal priorities. That definition is important because it acknowledges that balance looks different for different people. A single 25-year-old and a parent of three have different needs, and what makes them feel balanced will differ accordingly.</w:t>
      </w:r>
    </w:p>
    <w:p>
      <w:pPr>
        <w:spacing w:line="480" w:lineRule="auto" w:after="0" w:before="0"/>
        <w:ind w:firstLine="720"/>
        <w:jc w:val="both"/>
      </w:pPr>
      <w:r>
        <w:rPr>
          <w:rFonts w:ascii="Times New Roman" w:hAnsi="Times New Roman"/>
          <w:sz w:val="24"/>
        </w:rPr>
        <w:t>Shockley and Allen (2007) found in a meta-analysis that schedule flexibility was one of the strongest predictors of work-family balance—stronger than supervisor support or even workload. This makes intuitive sense: if you can leave early for a school pickup and finish your work in the evening, the conflict between work and family shrinks. Telework is one of the most direct forms of schedule flexibility, which is why it keeps coming up as a driver of balance in the literature.</w:t>
      </w:r>
    </w:p>
    <w:p>
      <w:pPr>
        <w:spacing w:line="480" w:lineRule="auto" w:after="0" w:before="0"/>
        <w:ind w:firstLine="720"/>
        <w:jc w:val="both"/>
      </w:pPr>
      <w:r>
        <w:rPr>
          <w:rFonts w:ascii="Times New Roman" w:hAnsi="Times New Roman"/>
          <w:sz w:val="24"/>
        </w:rPr>
        <w:t>In the federal workforce specifically, Fernandez et al. (2021) conducted a research synthesis of studies using FEVS data and found that items measuring organizational support for work-life balance—things like “My supervisor supports my need to balance work and other life issues”—were among the strongest predictors of overall job satisfaction. What stood out in their analysis was that the organizational context around flexibility mattered more than whether someone actually teleworked. In other words, an employee who works in the office but knows their supervisor would be flexible if needed might be just as satisfied as someone who teleworks regularly. This suggests that the signal telework sends about trust and autonomy may be as important as the logistical convenience it provides.</w:t>
      </w:r>
    </w:p>
    <w:p>
      <w:pPr>
        <w:spacing w:line="480" w:lineRule="auto" w:after="0" w:before="0"/>
        <w:ind w:firstLine="720"/>
        <w:jc w:val="both"/>
      </w:pPr>
      <w:r>
        <w:rPr>
          <w:rFonts w:ascii="Times New Roman" w:hAnsi="Times New Roman"/>
          <w:sz w:val="24"/>
        </w:rPr>
        <w:t>Vaziri et al. (2020) studied work arrangements during the pandemic transition and found an interesting pattern: employees who proactively set boundaries—like having a dedicated workspace and logging off at a consistent time—saw real improvements in their work-life balance ratings. Those who let work expand to fill the available hours saw the opposite. This finding reinforces the point that telework is a tool whose benefits depend on how it is used, not just whether it is offered.</w:t>
      </w:r>
    </w:p>
    <w:p>
      <w:pPr>
        <w:spacing w:before="240" w:line="480" w:lineRule="auto"/>
        <w:jc w:val="center"/>
      </w:pPr>
      <w:r>
        <w:rPr>
          <w:rFonts w:ascii="Times New Roman" w:hAnsi="Times New Roman"/>
          <w:b/>
          <w:sz w:val="24"/>
        </w:rPr>
        <w:t>Employee Engagement as the Elephant in the Room</w:t>
      </w:r>
    </w:p>
    <w:p>
      <w:pPr>
        <w:spacing w:line="480" w:lineRule="auto" w:after="0" w:before="0"/>
        <w:ind w:firstLine="720"/>
        <w:jc w:val="both"/>
      </w:pPr>
      <w:r>
        <w:rPr>
          <w:rFonts w:ascii="Times New Roman" w:hAnsi="Times New Roman"/>
          <w:sz w:val="24"/>
        </w:rPr>
        <w:t>One of the tricky things about studying telework and job satisfaction is that engagement tends to overshadow everything else. The OPM’s Employee Engagement Index (EEI) captures how employees feel about their leaders, their supervisors, and the intrinsic quality of their work. It consistently explains far more variation in satisfaction than any single work arrangement variable (OPM, 2024). Harter et al. (2002) established this pattern in a meta-analysis covering nearly 8,000 business units, finding engagement to be the single strongest predictor of satisfaction, productivity, and retention.</w:t>
      </w:r>
    </w:p>
    <w:p>
      <w:pPr>
        <w:spacing w:line="480" w:lineRule="auto" w:after="0" w:before="0"/>
        <w:ind w:firstLine="720"/>
        <w:jc w:val="both"/>
      </w:pPr>
      <w:r>
        <w:rPr>
          <w:rFonts w:ascii="Times New Roman" w:hAnsi="Times New Roman"/>
          <w:sz w:val="24"/>
        </w:rPr>
        <w:t>In the public sector, Lavigna (2013) made the case that engagement is especially critical because federal employees often cannot be offered large salary increases or stock options. Instead, agencies have to compete on mission, meaningful work, and quality of supervision—exactly the components the EEI measures. Saks (2006) further argued that engagement operates as a self-reinforcing cycle: engaged workers put in discretionary effort, achieve results, feel a sense of accomplishment, and become even more engaged.</w:t>
      </w:r>
    </w:p>
    <w:p>
      <w:pPr>
        <w:spacing w:line="480" w:lineRule="auto" w:after="0" w:before="0"/>
        <w:ind w:firstLine="720"/>
        <w:jc w:val="both"/>
      </w:pPr>
      <w:r>
        <w:rPr>
          <w:rFonts w:ascii="Times New Roman" w:hAnsi="Times New Roman"/>
          <w:sz w:val="24"/>
        </w:rPr>
        <w:t>This creates a methodological challenge for anyone studying telework effects. If you simply compare the satisfaction of teleworkers versus non-teleworkers, you might conclude that telework boosts satisfaction. But it could be that telework-eligible jobs also happen to have better supervisors, more interesting work, and more competent leadership—all things that feed engagement. Caillier (2012) found exactly this pattern using earlier FEVS data: the raw telework-satisfaction correlation was significant, but it shrank considerably once engagement-related factors were controlled. Caillier (2016) extended this by showing that role clarity partially mediated the relationship, further complicating the picture.</w:t>
      </w:r>
    </w:p>
    <w:p>
      <w:pPr>
        <w:spacing w:line="480" w:lineRule="auto" w:after="0" w:before="0"/>
        <w:ind w:firstLine="720"/>
        <w:jc w:val="both"/>
      </w:pPr>
      <w:r>
        <w:rPr>
          <w:rFonts w:ascii="Times New Roman" w:hAnsi="Times New Roman"/>
          <w:sz w:val="24"/>
        </w:rPr>
        <w:t>This is why the present study uses a hierarchical regression approach that enters telework first, then adds work-life balance, then engagement, and finally demographics. By watching how the telework coefficients change as each block is added, we can see how much of the apparent telework effect is really about telework itself versus the other factors it tends to correlate with.</w:t>
      </w:r>
    </w:p>
    <w:p>
      <w:pPr>
        <w:spacing w:before="240" w:line="480" w:lineRule="auto"/>
        <w:jc w:val="center"/>
      </w:pPr>
      <w:r>
        <w:rPr>
          <w:rFonts w:ascii="Times New Roman" w:hAnsi="Times New Roman"/>
          <w:b/>
          <w:sz w:val="24"/>
        </w:rPr>
        <w:t>The Role of Demographics</w:t>
      </w:r>
    </w:p>
    <w:p>
      <w:pPr>
        <w:spacing w:line="480" w:lineRule="auto" w:after="0" w:before="0"/>
        <w:ind w:firstLine="720"/>
        <w:jc w:val="both"/>
      </w:pPr>
      <w:r>
        <w:rPr>
          <w:rFonts w:ascii="Times New Roman" w:hAnsi="Times New Roman"/>
          <w:sz w:val="24"/>
        </w:rPr>
        <w:t>Individual characteristics like age, gender, supervisory status, and tenure can influence both who has access to telework and how much they benefit from it. Morganson et al. (2010) found that employees’ satisfaction with different work locations depended partly on career stage: newer employees who were still building networks benefited more from in-office interaction, while experienced employees valued the autonomy of working remotely. Golden and Fromen (2011) showed that supervisors experienced telework differently than individual contributors because they had to juggle managing remote teams with their own work.</w:t>
      </w:r>
    </w:p>
    <w:p>
      <w:pPr>
        <w:spacing w:line="480" w:lineRule="auto" w:after="0" w:before="0"/>
        <w:ind w:firstLine="720"/>
        <w:jc w:val="both"/>
      </w:pPr>
      <w:r>
        <w:rPr>
          <w:rFonts w:ascii="Times New Roman" w:hAnsi="Times New Roman"/>
          <w:sz w:val="24"/>
        </w:rPr>
        <w:t>Gender is another important factor. Lott and Chung (2016) documented that women and men often experience schedule flexibility differently due to unequal caregiving responsibilities. In households where women shoulder more childcare and eldercare, telework may provide a bigger boost to work-life balance simply because it eases more logistical constraints. The FEVS includes demographic variables for age group, gender, supervisory status, and federal tenure, so the present study can test whether telework and engagement effects hold across these different groups or whether they vary in important ways.</w:t>
      </w:r>
    </w:p>
    <w:p>
      <w:pPr>
        <w:spacing w:before="240" w:line="480" w:lineRule="auto"/>
        <w:jc w:val="center"/>
      </w:pPr>
      <w:r>
        <w:rPr>
          <w:rFonts w:ascii="Times New Roman" w:hAnsi="Times New Roman"/>
          <w:b/>
          <w:sz w:val="24"/>
        </w:rPr>
        <w:t>Opportunities for Improvement</w:t>
      </w:r>
    </w:p>
    <w:p>
      <w:pPr>
        <w:spacing w:line="480" w:lineRule="auto" w:after="0" w:before="0"/>
        <w:ind w:firstLine="720"/>
        <w:jc w:val="both"/>
      </w:pPr>
      <w:r>
        <w:rPr>
          <w:rFonts w:ascii="Times New Roman" w:hAnsi="Times New Roman"/>
          <w:sz w:val="24"/>
        </w:rPr>
        <w:t>Stepping back from the academic literature, several practical opportunities emerge for federal agencies looking to improve employee satisfaction. First, the evidence strongly suggests that hybrid models—rather than all-or-nothing approaches—produce the best outcomes. Bloom’s (2024) experimental evidence, combined with the cross-sectional FEVS data, points toward two to three days per week of remote work as a sweet spot that preserves collaboration while supporting autonomy and balance.</w:t>
      </w:r>
    </w:p>
    <w:p>
      <w:pPr>
        <w:spacing w:line="480" w:lineRule="auto" w:after="0" w:before="0"/>
        <w:ind w:firstLine="720"/>
        <w:jc w:val="both"/>
      </w:pPr>
      <w:r>
        <w:rPr>
          <w:rFonts w:ascii="Times New Roman" w:hAnsi="Times New Roman"/>
          <w:sz w:val="24"/>
        </w:rPr>
        <w:t>Second, the research consistently shows that supervisor behavior matters as much as, if not more than, the formal telework policy. Kaduk et al. (2019) found that employees with supportive managers reported high satisfaction regardless of how often they teleworked, while those with unsupportive managers were dissatisfied whether they worked remotely or not. This implies that investing in leadership training around managing hybrid teams could have a bigger payoff than simply expanding or restricting telework eligibility.</w:t>
      </w:r>
    </w:p>
    <w:p>
      <w:pPr>
        <w:spacing w:line="480" w:lineRule="auto" w:after="0" w:before="0"/>
        <w:ind w:firstLine="720"/>
        <w:jc w:val="both"/>
      </w:pPr>
      <w:r>
        <w:rPr>
          <w:rFonts w:ascii="Times New Roman" w:hAnsi="Times New Roman"/>
          <w:sz w:val="24"/>
        </w:rPr>
        <w:t>Third, the work-life balance findings point to a need for explicit boundary management strategies. Agencies that provide guidance on setting work hours, discourage after-hours emails, and create norms around meeting-free time blocks are more likely to see the WLB benefits of telework materialize. Without those norms, flexibility can ironically lead to more work-life conflict, not less (Allen et al., 2015).</w:t>
      </w:r>
    </w:p>
    <w:p>
      <w:pPr>
        <w:spacing w:line="480" w:lineRule="auto" w:after="0" w:before="0"/>
        <w:ind w:firstLine="720"/>
        <w:jc w:val="both"/>
      </w:pPr>
      <w:r>
        <w:rPr>
          <w:rFonts w:ascii="Times New Roman" w:hAnsi="Times New Roman"/>
          <w:sz w:val="24"/>
        </w:rPr>
        <w:t>Finally, the competitive talent landscape means federal agencies cannot afford to ignore private-sector trends. Young professionals entering the workforce today expect flexibility as a baseline, not a perk (Partnership for Public Service, 2023). If agencies want to close the age gap in their workforce demographics, telework policy needs to be part of the recruitment conversation.</w:t>
      </w:r>
    </w:p>
    <w:p>
      <w:pPr>
        <w:spacing w:before="240" w:line="480" w:lineRule="auto"/>
        <w:jc w:val="center"/>
      </w:pPr>
      <w:r>
        <w:rPr>
          <w:rFonts w:ascii="Times New Roman" w:hAnsi="Times New Roman"/>
          <w:b/>
          <w:sz w:val="24"/>
        </w:rPr>
        <w:t>Summary and Research Gap</w:t>
      </w:r>
    </w:p>
    <w:p>
      <w:pPr>
        <w:spacing w:line="480" w:lineRule="auto" w:after="0" w:before="0"/>
        <w:ind w:firstLine="720"/>
        <w:jc w:val="both"/>
      </w:pPr>
      <w:r>
        <w:rPr>
          <w:rFonts w:ascii="Times New Roman" w:hAnsi="Times New Roman"/>
          <w:sz w:val="24"/>
        </w:rPr>
        <w:t>Taken together, the literature paints a clear but nuanced picture. Telework is associated with higher job satisfaction, but the relationship is not as simple as “remote work equals happy workers.” Work-life balance acts as a key mediating mechanism, and employee engagement overwhelms the telework effect in most models. Demographic differences add another layer of complexity. Most of the federal-specific research relies on FEVS data from 2020 through 2022, which was collected during unusual pandemic and immediate post-pandemic conditions. The 2024 FEVS represents a more stable policy environment and a much larger sample, making it well-suited for a fresh look at these relationships.</w:t>
      </w:r>
    </w:p>
    <w:p>
      <w:pPr>
        <w:spacing w:line="480" w:lineRule="auto" w:after="0" w:before="0"/>
        <w:ind w:firstLine="720"/>
        <w:jc w:val="both"/>
      </w:pPr>
      <w:r>
        <w:rPr>
          <w:rFonts w:ascii="Times New Roman" w:hAnsi="Times New Roman"/>
          <w:sz w:val="24"/>
        </w:rPr>
        <w:t>What is missing from the existing literature is a single integrated model that decomposes the telework effect step by step—adding work-life balance, then engagement, then demographics—to show exactly how much each factor contributes. The present study fills that gap by applying a four-block hierarchical OLS regression to the full 2024 FEVS public-release dataset, which includes over 500,000 respondents. The goal is not just to confirm that engagement matters more than telework, but to quantify the precise incremental contribution of each predictor block so that agencies can make more informed policy decisions.</w:t>
      </w:r>
    </w:p>
    <w:p>
      <w:r>
        <w:br w:type="page"/>
      </w:r>
    </w:p>
    <w:p>
      <w:pPr>
        <w:spacing w:before="240" w:line="480" w:lineRule="auto"/>
        <w:jc w:val="center"/>
      </w:pPr>
      <w:r>
        <w:rPr>
          <w:rFonts w:ascii="Times New Roman" w:hAnsi="Times New Roman"/>
          <w:b/>
          <w:sz w:val="24"/>
        </w:rPr>
        <w:t>References</w:t>
      </w:r>
    </w:p>
    <w:p>
      <w:pPr>
        <w:spacing w:line="480" w:lineRule="auto" w:after="0" w:before="0"/>
        <w:ind w:left="720" w:hanging="720"/>
        <w:jc w:val="left"/>
      </w:pPr>
      <w:r>
        <w:rPr>
          <w:rFonts w:ascii="Times New Roman" w:hAnsi="Times New Roman"/>
          <w:i w:val="0"/>
          <w:sz w:val="24"/>
        </w:rPr>
        <w:t xml:space="preserve">Allen, T. D., Golden, T. D., &amp; Shockley, K. M. (2015). How effective is telecommuting? Assessing the status of our scientific findings. </w:t>
      </w:r>
      <w:r>
        <w:rPr>
          <w:rFonts w:ascii="Times New Roman" w:hAnsi="Times New Roman"/>
          <w:i/>
          <w:sz w:val="24"/>
        </w:rPr>
        <w:t>Psychological Science in the Public Interest, 16</w:t>
      </w:r>
      <w:r>
        <w:rPr>
          <w:rFonts w:ascii="Times New Roman" w:hAnsi="Times New Roman"/>
          <w:i w:val="0"/>
          <w:sz w:val="24"/>
        </w:rPr>
        <w:t>(2), 40–68. https://doi.org/10.1177/1529100615593273</w:t>
      </w:r>
    </w:p>
    <w:p>
      <w:pPr>
        <w:spacing w:line="480" w:lineRule="auto" w:after="0" w:before="0"/>
        <w:ind w:left="720" w:hanging="720"/>
        <w:jc w:val="left"/>
      </w:pPr>
      <w:r>
        <w:rPr>
          <w:rFonts w:ascii="Times New Roman" w:hAnsi="Times New Roman"/>
          <w:i w:val="0"/>
          <w:sz w:val="24"/>
        </w:rPr>
        <w:t xml:space="preserve">Bakker, A. B., &amp; Demerouti, E. (2017). Job demands-resources theory: Taking stock and looking forward. </w:t>
      </w:r>
      <w:r>
        <w:rPr>
          <w:rFonts w:ascii="Times New Roman" w:hAnsi="Times New Roman"/>
          <w:i/>
          <w:sz w:val="24"/>
        </w:rPr>
        <w:t>Journal of Occupational Health Psychology, 22</w:t>
      </w:r>
      <w:r>
        <w:rPr>
          <w:rFonts w:ascii="Times New Roman" w:hAnsi="Times New Roman"/>
          <w:i w:val="0"/>
          <w:sz w:val="24"/>
        </w:rPr>
        <w:t>(3), 273–285. https://doi.org/10.1037/ocp0000056</w:t>
      </w:r>
    </w:p>
    <w:p>
      <w:pPr>
        <w:spacing w:line="480" w:lineRule="auto" w:after="0" w:before="0"/>
        <w:ind w:left="720" w:hanging="720"/>
        <w:jc w:val="left"/>
      </w:pPr>
      <w:r>
        <w:rPr>
          <w:rFonts w:ascii="Times New Roman" w:hAnsi="Times New Roman"/>
          <w:i w:val="0"/>
          <w:sz w:val="24"/>
        </w:rPr>
        <w:t xml:space="preserve">Barrero, J. M., Bloom, N., &amp; Davis, S. J. (2023). The evolution of work from home. </w:t>
      </w:r>
      <w:r>
        <w:rPr>
          <w:rFonts w:ascii="Times New Roman" w:hAnsi="Times New Roman"/>
          <w:i/>
          <w:sz w:val="24"/>
        </w:rPr>
        <w:t>Journal of Economic Perspectives, 37</w:t>
      </w:r>
      <w:r>
        <w:rPr>
          <w:rFonts w:ascii="Times New Roman" w:hAnsi="Times New Roman"/>
          <w:i w:val="0"/>
          <w:sz w:val="24"/>
        </w:rPr>
        <w:t>(4), 23–49. https://doi.org/10.1257/jep.37.4.23</w:t>
      </w:r>
    </w:p>
    <w:p>
      <w:pPr>
        <w:spacing w:line="480" w:lineRule="auto" w:after="0" w:before="0"/>
        <w:ind w:left="720" w:hanging="720"/>
        <w:jc w:val="left"/>
      </w:pPr>
      <w:r>
        <w:rPr>
          <w:rFonts w:ascii="Times New Roman" w:hAnsi="Times New Roman"/>
          <w:i w:val="0"/>
          <w:sz w:val="24"/>
        </w:rPr>
        <w:t xml:space="preserve">Bloom, N. (2024). Hybrid is the future of work. </w:t>
      </w:r>
      <w:r>
        <w:rPr>
          <w:rFonts w:ascii="Times New Roman" w:hAnsi="Times New Roman"/>
          <w:i/>
          <w:sz w:val="24"/>
        </w:rPr>
        <w:t>Stanford Institute for Economic Policy Research (SIEPR) Policy Brief</w:t>
      </w:r>
      <w:r>
        <w:rPr>
          <w:rFonts w:ascii="Times New Roman" w:hAnsi="Times New Roman"/>
          <w:i w:val="0"/>
          <w:sz w:val="24"/>
        </w:rPr>
        <w:t>.</w:t>
      </w:r>
    </w:p>
    <w:p>
      <w:pPr>
        <w:spacing w:line="480" w:lineRule="auto" w:after="0" w:before="0"/>
        <w:ind w:left="720" w:hanging="720"/>
        <w:jc w:val="left"/>
      </w:pPr>
      <w:r>
        <w:rPr>
          <w:rFonts w:ascii="Times New Roman" w:hAnsi="Times New Roman"/>
          <w:i w:val="0"/>
          <w:sz w:val="24"/>
        </w:rPr>
        <w:t xml:space="preserve">Bloom, N., Liang, J., Roberts, J., &amp; Ying, Z. J. (2015). Does working from home work? Evidence from a Chinese experiment. </w:t>
      </w:r>
      <w:r>
        <w:rPr>
          <w:rFonts w:ascii="Times New Roman" w:hAnsi="Times New Roman"/>
          <w:i/>
          <w:sz w:val="24"/>
        </w:rPr>
        <w:t>Quarterly Journal of Economics, 130</w:t>
      </w:r>
      <w:r>
        <w:rPr>
          <w:rFonts w:ascii="Times New Roman" w:hAnsi="Times New Roman"/>
          <w:i w:val="0"/>
          <w:sz w:val="24"/>
        </w:rPr>
        <w:t>(1), 165–218. https://doi.org/10.1093/qje/qju032</w:t>
      </w:r>
    </w:p>
    <w:p>
      <w:pPr>
        <w:spacing w:line="480" w:lineRule="auto" w:after="0" w:before="0"/>
        <w:ind w:left="720" w:hanging="720"/>
        <w:jc w:val="left"/>
      </w:pPr>
      <w:r>
        <w:rPr>
          <w:rFonts w:ascii="Times New Roman" w:hAnsi="Times New Roman"/>
          <w:i w:val="0"/>
          <w:sz w:val="24"/>
        </w:rPr>
        <w:t xml:space="preserve">Caillier, J. G. (2012). The impact of teleworking on work motivation in a U.S. federal government agency. </w:t>
      </w:r>
      <w:r>
        <w:rPr>
          <w:rFonts w:ascii="Times New Roman" w:hAnsi="Times New Roman"/>
          <w:i/>
          <w:sz w:val="24"/>
        </w:rPr>
        <w:t>The American Review of Public Administration, 42</w:t>
      </w:r>
      <w:r>
        <w:rPr>
          <w:rFonts w:ascii="Times New Roman" w:hAnsi="Times New Roman"/>
          <w:i w:val="0"/>
          <w:sz w:val="24"/>
        </w:rPr>
        <w:t>(4), 461–480. https://doi.org/10.1177/0275074011409394</w:t>
      </w:r>
    </w:p>
    <w:p>
      <w:pPr>
        <w:spacing w:line="480" w:lineRule="auto" w:after="0" w:before="0"/>
        <w:ind w:left="720" w:hanging="720"/>
        <w:jc w:val="left"/>
      </w:pPr>
      <w:r>
        <w:rPr>
          <w:rFonts w:ascii="Times New Roman" w:hAnsi="Times New Roman"/>
          <w:i w:val="0"/>
          <w:sz w:val="24"/>
        </w:rPr>
        <w:t xml:space="preserve">Caillier, J. G. (2016). Does satisfaction with family-friendly programs reduce turnover? A panel study conducted in U.S. federal agencies. </w:t>
      </w:r>
      <w:r>
        <w:rPr>
          <w:rFonts w:ascii="Times New Roman" w:hAnsi="Times New Roman"/>
          <w:i/>
          <w:sz w:val="24"/>
        </w:rPr>
        <w:t>Public Personnel Management, 45</w:t>
      </w:r>
      <w:r>
        <w:rPr>
          <w:rFonts w:ascii="Times New Roman" w:hAnsi="Times New Roman"/>
          <w:i w:val="0"/>
          <w:sz w:val="24"/>
        </w:rPr>
        <w:t>(3), 284–307. https://doi.org/10.1177/0091026016652424</w:t>
      </w:r>
    </w:p>
    <w:p>
      <w:pPr>
        <w:spacing w:line="480" w:lineRule="auto" w:after="0" w:before="0"/>
        <w:ind w:left="720" w:hanging="720"/>
        <w:jc w:val="left"/>
      </w:pPr>
      <w:r>
        <w:rPr>
          <w:rFonts w:ascii="Times New Roman" w:hAnsi="Times New Roman"/>
          <w:i w:val="0"/>
          <w:sz w:val="24"/>
        </w:rPr>
        <w:t xml:space="preserve">Deci, E. L., &amp; Ryan, R. M. (2000). The “what” and “why” of goal pursuits: Human needs and the self-determination of behavior. </w:t>
      </w:r>
      <w:r>
        <w:rPr>
          <w:rFonts w:ascii="Times New Roman" w:hAnsi="Times New Roman"/>
          <w:i/>
          <w:sz w:val="24"/>
        </w:rPr>
        <w:t>Psychological Inquiry, 11</w:t>
      </w:r>
      <w:r>
        <w:rPr>
          <w:rFonts w:ascii="Times New Roman" w:hAnsi="Times New Roman"/>
          <w:i w:val="0"/>
          <w:sz w:val="24"/>
        </w:rPr>
        <w:t>(4), 227–268. https://doi.org/10.1207/S15327965PLI1104_01</w:t>
      </w:r>
    </w:p>
    <w:p>
      <w:pPr>
        <w:spacing w:line="480" w:lineRule="auto" w:after="0" w:before="0"/>
        <w:ind w:left="720" w:hanging="720"/>
        <w:jc w:val="left"/>
      </w:pPr>
      <w:r>
        <w:rPr>
          <w:rFonts w:ascii="Times New Roman" w:hAnsi="Times New Roman"/>
          <w:i w:val="0"/>
          <w:sz w:val="24"/>
        </w:rPr>
        <w:t xml:space="preserve">Edwards, J. R., &amp; Rothbard, N. P. (2000). Mechanisms linking work and family: Clarifying the relationship between work and family constructs. </w:t>
      </w:r>
      <w:r>
        <w:rPr>
          <w:rFonts w:ascii="Times New Roman" w:hAnsi="Times New Roman"/>
          <w:i/>
          <w:sz w:val="24"/>
        </w:rPr>
        <w:t>Academy of Management Review, 25</w:t>
      </w:r>
      <w:r>
        <w:rPr>
          <w:rFonts w:ascii="Times New Roman" w:hAnsi="Times New Roman"/>
          <w:i w:val="0"/>
          <w:sz w:val="24"/>
        </w:rPr>
        <w:t>(1), 178–199. https://doi.org/10.5465/amr.2000.2791609</w:t>
      </w:r>
    </w:p>
    <w:p>
      <w:pPr>
        <w:spacing w:line="480" w:lineRule="auto" w:after="0" w:before="0"/>
        <w:ind w:left="720" w:hanging="720"/>
        <w:jc w:val="left"/>
      </w:pPr>
      <w:r>
        <w:rPr>
          <w:rFonts w:ascii="Times New Roman" w:hAnsi="Times New Roman"/>
          <w:i w:val="0"/>
          <w:sz w:val="24"/>
        </w:rPr>
        <w:t xml:space="preserve">Fernandez, S., Resh, W. G., Moldogaziev, T., &amp; Ban, Z. (2021). Assessing the past and promise of the Federal Employee Viewpoint Survey for public management research: A research synthesis. </w:t>
      </w:r>
      <w:r>
        <w:rPr>
          <w:rFonts w:ascii="Times New Roman" w:hAnsi="Times New Roman"/>
          <w:i/>
          <w:sz w:val="24"/>
        </w:rPr>
        <w:t>Public Administration Review, 81</w:t>
      </w:r>
      <w:r>
        <w:rPr>
          <w:rFonts w:ascii="Times New Roman" w:hAnsi="Times New Roman"/>
          <w:i w:val="0"/>
          <w:sz w:val="24"/>
        </w:rPr>
        <w:t>(6), 1078–1099. https://doi.org/10.1111/puar.13367</w:t>
      </w:r>
    </w:p>
    <w:p>
      <w:pPr>
        <w:spacing w:line="480" w:lineRule="auto" w:after="0" w:before="0"/>
        <w:ind w:left="720" w:hanging="720"/>
        <w:jc w:val="left"/>
      </w:pPr>
      <w:r>
        <w:rPr>
          <w:rFonts w:ascii="Times New Roman" w:hAnsi="Times New Roman"/>
          <w:i w:val="0"/>
          <w:sz w:val="24"/>
        </w:rPr>
        <w:t xml:space="preserve">Gajendran, R. S., &amp; Harrison, D. A. (2007). The good, the bad, and the unknown about telecommuting: Meta-analysis of psychological mediators and individual consequences. </w:t>
      </w:r>
      <w:r>
        <w:rPr>
          <w:rFonts w:ascii="Times New Roman" w:hAnsi="Times New Roman"/>
          <w:i/>
          <w:sz w:val="24"/>
        </w:rPr>
        <w:t>Journal of Applied Psychology, 92</w:t>
      </w:r>
      <w:r>
        <w:rPr>
          <w:rFonts w:ascii="Times New Roman" w:hAnsi="Times New Roman"/>
          <w:i w:val="0"/>
          <w:sz w:val="24"/>
        </w:rPr>
        <w:t>(6), 1524–1541. https://doi.org/10.1037/0021-9010.92.6.1524</w:t>
      </w:r>
    </w:p>
    <w:p>
      <w:pPr>
        <w:spacing w:line="480" w:lineRule="auto" w:after="0" w:before="0"/>
        <w:ind w:left="720" w:hanging="720"/>
        <w:jc w:val="left"/>
      </w:pPr>
      <w:r>
        <w:rPr>
          <w:rFonts w:ascii="Times New Roman" w:hAnsi="Times New Roman"/>
          <w:i w:val="0"/>
          <w:sz w:val="24"/>
        </w:rPr>
        <w:t xml:space="preserve">Golden, T. D., &amp; Fromen, A. (2011). Does it matter where your manager works? Comparing managerial work mode (traditional, telework, virtual) across subordinate work experiences and outcomes. </w:t>
      </w:r>
      <w:r>
        <w:rPr>
          <w:rFonts w:ascii="Times New Roman" w:hAnsi="Times New Roman"/>
          <w:i/>
          <w:sz w:val="24"/>
        </w:rPr>
        <w:t>Human Relations, 64</w:t>
      </w:r>
      <w:r>
        <w:rPr>
          <w:rFonts w:ascii="Times New Roman" w:hAnsi="Times New Roman"/>
          <w:i w:val="0"/>
          <w:sz w:val="24"/>
        </w:rPr>
        <w:t>(11), 1451–1475. https://doi.org/10.1177/0018726711418387</w:t>
      </w:r>
    </w:p>
    <w:p>
      <w:pPr>
        <w:spacing w:line="480" w:lineRule="auto" w:after="0" w:before="0"/>
        <w:ind w:left="720" w:hanging="720"/>
        <w:jc w:val="left"/>
      </w:pPr>
      <w:r>
        <w:rPr>
          <w:rFonts w:ascii="Times New Roman" w:hAnsi="Times New Roman"/>
          <w:i w:val="0"/>
          <w:sz w:val="24"/>
        </w:rPr>
        <w:t xml:space="preserve">Government Accountability Office. (2024). </w:t>
      </w:r>
      <w:r>
        <w:rPr>
          <w:rFonts w:ascii="Times New Roman" w:hAnsi="Times New Roman"/>
          <w:i/>
          <w:sz w:val="24"/>
        </w:rPr>
        <w:t>Federal telework: Agencies need to improve monitoring and address management challenges</w:t>
      </w:r>
      <w:r>
        <w:rPr>
          <w:rFonts w:ascii="Times New Roman" w:hAnsi="Times New Roman"/>
          <w:i w:val="0"/>
          <w:sz w:val="24"/>
        </w:rPr>
        <w:t xml:space="preserve"> (GAO-24-105572).</w:t>
      </w:r>
    </w:p>
    <w:p>
      <w:pPr>
        <w:spacing w:line="480" w:lineRule="auto" w:after="0" w:before="0"/>
        <w:ind w:left="720" w:hanging="720"/>
        <w:jc w:val="left"/>
      </w:pPr>
      <w:r>
        <w:rPr>
          <w:rFonts w:ascii="Times New Roman" w:hAnsi="Times New Roman"/>
          <w:i w:val="0"/>
          <w:sz w:val="24"/>
        </w:rPr>
        <w:t xml:space="preserve">Greenhaus, J. H., &amp; Allen, T. D. (2011). Work-family balance: A review and extension of the literature. In J. C. Quick &amp; L. E. Tetrick (Eds.), </w:t>
      </w:r>
      <w:r>
        <w:rPr>
          <w:rFonts w:ascii="Times New Roman" w:hAnsi="Times New Roman"/>
          <w:i/>
          <w:sz w:val="24"/>
        </w:rPr>
        <w:t>Handbook of occupational health psychology</w:t>
      </w:r>
      <w:r>
        <w:rPr>
          <w:rFonts w:ascii="Times New Roman" w:hAnsi="Times New Roman"/>
          <w:i w:val="0"/>
          <w:sz w:val="24"/>
        </w:rPr>
        <w:t xml:space="preserve"> (2nd ed., pp. 165–183). American Psychological Association.</w:t>
      </w:r>
    </w:p>
    <w:p>
      <w:pPr>
        <w:spacing w:line="480" w:lineRule="auto" w:after="0" w:before="0"/>
        <w:ind w:left="720" w:hanging="720"/>
        <w:jc w:val="left"/>
      </w:pPr>
      <w:r>
        <w:rPr>
          <w:rFonts w:ascii="Times New Roman" w:hAnsi="Times New Roman"/>
          <w:i w:val="0"/>
          <w:sz w:val="24"/>
        </w:rPr>
        <w:t xml:space="preserve">Harter, J. K., Schmidt, F. L., &amp; Hayes, T. L. (2002). Business-unit-level relationship between employee satisfaction, employee engagement, and business outcomes: A meta-analysis. </w:t>
      </w:r>
      <w:r>
        <w:rPr>
          <w:rFonts w:ascii="Times New Roman" w:hAnsi="Times New Roman"/>
          <w:i/>
          <w:sz w:val="24"/>
        </w:rPr>
        <w:t>Journal of Applied Psychology, 87</w:t>
      </w:r>
      <w:r>
        <w:rPr>
          <w:rFonts w:ascii="Times New Roman" w:hAnsi="Times New Roman"/>
          <w:i w:val="0"/>
          <w:sz w:val="24"/>
        </w:rPr>
        <w:t>(2), 268–279. https://doi.org/10.1037/0021-9010.87.2.268</w:t>
      </w:r>
    </w:p>
    <w:p>
      <w:pPr>
        <w:spacing w:line="480" w:lineRule="auto" w:after="0" w:before="0"/>
        <w:ind w:left="720" w:hanging="720"/>
        <w:jc w:val="left"/>
      </w:pPr>
      <w:r>
        <w:rPr>
          <w:rFonts w:ascii="Times New Roman" w:hAnsi="Times New Roman"/>
          <w:i w:val="0"/>
          <w:sz w:val="24"/>
        </w:rPr>
        <w:t xml:space="preserve">Kaduk, A., Genadek, K., Kelly, E. L., &amp; Moen, P. (2019). Involuntary vs. voluntary flexible work: Insights for scholars and stakeholders. </w:t>
      </w:r>
      <w:r>
        <w:rPr>
          <w:rFonts w:ascii="Times New Roman" w:hAnsi="Times New Roman"/>
          <w:i/>
          <w:sz w:val="24"/>
        </w:rPr>
        <w:t>Community, Work &amp; Family, 22</w:t>
      </w:r>
      <w:r>
        <w:rPr>
          <w:rFonts w:ascii="Times New Roman" w:hAnsi="Times New Roman"/>
          <w:i w:val="0"/>
          <w:sz w:val="24"/>
        </w:rPr>
        <w:t>(4), 412–442. https://doi.org/10.1080/13668803.2019.1616532</w:t>
      </w:r>
    </w:p>
    <w:p>
      <w:pPr>
        <w:spacing w:line="480" w:lineRule="auto" w:after="0" w:before="0"/>
        <w:ind w:left="720" w:hanging="720"/>
        <w:jc w:val="left"/>
      </w:pPr>
      <w:r>
        <w:rPr>
          <w:rFonts w:ascii="Times New Roman" w:hAnsi="Times New Roman"/>
          <w:i w:val="0"/>
          <w:sz w:val="24"/>
        </w:rPr>
        <w:t xml:space="preserve">Lavigna, R. J. (2013). </w:t>
      </w:r>
      <w:r>
        <w:rPr>
          <w:rFonts w:ascii="Times New Roman" w:hAnsi="Times New Roman"/>
          <w:i/>
          <w:sz w:val="24"/>
        </w:rPr>
        <w:t>Engaging government employees: Motivate and inspire your people to achieve superior performance</w:t>
      </w:r>
      <w:r>
        <w:rPr>
          <w:rFonts w:ascii="Times New Roman" w:hAnsi="Times New Roman"/>
          <w:i w:val="0"/>
          <w:sz w:val="24"/>
        </w:rPr>
        <w:t>. AMACOM.</w:t>
      </w:r>
    </w:p>
    <w:p>
      <w:pPr>
        <w:spacing w:line="480" w:lineRule="auto" w:after="0" w:before="0"/>
        <w:ind w:left="720" w:hanging="720"/>
        <w:jc w:val="left"/>
      </w:pPr>
      <w:r>
        <w:rPr>
          <w:rFonts w:ascii="Times New Roman" w:hAnsi="Times New Roman"/>
          <w:i w:val="0"/>
          <w:sz w:val="24"/>
        </w:rPr>
        <w:t xml:space="preserve">Lee, S., &amp; Kim, S. (2023). Telework and federal employee job satisfaction: Evidence from the Federal Employee Viewpoint Survey. </w:t>
      </w:r>
      <w:r>
        <w:rPr>
          <w:rFonts w:ascii="Times New Roman" w:hAnsi="Times New Roman"/>
          <w:i/>
          <w:sz w:val="24"/>
        </w:rPr>
        <w:t>Review of Public Personnel Administration, 43</w:t>
      </w:r>
      <w:r>
        <w:rPr>
          <w:rFonts w:ascii="Times New Roman" w:hAnsi="Times New Roman"/>
          <w:i w:val="0"/>
          <w:sz w:val="24"/>
        </w:rPr>
        <w:t>(3), 512–536. https://doi.org/10.1177/0734371X221101584</w:t>
      </w:r>
    </w:p>
    <w:p>
      <w:pPr>
        <w:spacing w:line="480" w:lineRule="auto" w:after="0" w:before="0"/>
        <w:ind w:left="720" w:hanging="720"/>
        <w:jc w:val="left"/>
      </w:pPr>
      <w:r>
        <w:rPr>
          <w:rFonts w:ascii="Times New Roman" w:hAnsi="Times New Roman"/>
          <w:i w:val="0"/>
          <w:sz w:val="24"/>
        </w:rPr>
        <w:t xml:space="preserve">Lott, Y., &amp; Chung, H. (2016). Gender discrepancies in the outcomes of schedule control on overtime hours and income in Germany. </w:t>
      </w:r>
      <w:r>
        <w:rPr>
          <w:rFonts w:ascii="Times New Roman" w:hAnsi="Times New Roman"/>
          <w:i/>
          <w:sz w:val="24"/>
        </w:rPr>
        <w:t>European Sociological Review, 32</w:t>
      </w:r>
      <w:r>
        <w:rPr>
          <w:rFonts w:ascii="Times New Roman" w:hAnsi="Times New Roman"/>
          <w:i w:val="0"/>
          <w:sz w:val="24"/>
        </w:rPr>
        <w:t>(6), 752–765. https://doi.org/10.1093/esr/jcw032</w:t>
      </w:r>
    </w:p>
    <w:p>
      <w:pPr>
        <w:spacing w:line="480" w:lineRule="auto" w:after="0" w:before="0"/>
        <w:ind w:left="720" w:hanging="720"/>
        <w:jc w:val="left"/>
      </w:pPr>
      <w:r>
        <w:rPr>
          <w:rFonts w:ascii="Times New Roman" w:hAnsi="Times New Roman"/>
          <w:i w:val="0"/>
          <w:sz w:val="24"/>
        </w:rPr>
        <w:t xml:space="preserve">McKinsey Global Institute. (2023). </w:t>
      </w:r>
      <w:r>
        <w:rPr>
          <w:rFonts w:ascii="Times New Roman" w:hAnsi="Times New Roman"/>
          <w:i/>
          <w:sz w:val="24"/>
        </w:rPr>
        <w:t>Americans are embracing flexible work—and they want more of it</w:t>
      </w:r>
      <w:r>
        <w:rPr>
          <w:rFonts w:ascii="Times New Roman" w:hAnsi="Times New Roman"/>
          <w:i w:val="0"/>
          <w:sz w:val="24"/>
        </w:rPr>
        <w:t>. McKinsey &amp; Company.</w:t>
      </w:r>
    </w:p>
    <w:p>
      <w:pPr>
        <w:spacing w:line="480" w:lineRule="auto" w:after="0" w:before="0"/>
        <w:ind w:left="720" w:hanging="720"/>
        <w:jc w:val="left"/>
      </w:pPr>
      <w:r>
        <w:rPr>
          <w:rFonts w:ascii="Times New Roman" w:hAnsi="Times New Roman"/>
          <w:i w:val="0"/>
          <w:sz w:val="24"/>
        </w:rPr>
        <w:t xml:space="preserve">Morganson, V. J., Major, D. A., Oborn, K. L., Verive, J. M., &amp; Heelan, M. P. (2010). Comparing telework locations and traditional work arrangements. </w:t>
      </w:r>
      <w:r>
        <w:rPr>
          <w:rFonts w:ascii="Times New Roman" w:hAnsi="Times New Roman"/>
          <w:i/>
          <w:sz w:val="24"/>
        </w:rPr>
        <w:t>Journal of Managerial Psychology, 25</w:t>
      </w:r>
      <w:r>
        <w:rPr>
          <w:rFonts w:ascii="Times New Roman" w:hAnsi="Times New Roman"/>
          <w:i w:val="0"/>
          <w:sz w:val="24"/>
        </w:rPr>
        <w:t>(6), 578–595. https://doi.org/10.1108/02683941011056941</w:t>
      </w:r>
    </w:p>
    <w:p>
      <w:pPr>
        <w:spacing w:line="480" w:lineRule="auto" w:after="0" w:before="0"/>
        <w:ind w:left="720" w:hanging="720"/>
        <w:jc w:val="left"/>
      </w:pPr>
      <w:r>
        <w:rPr>
          <w:rFonts w:ascii="Times New Roman" w:hAnsi="Times New Roman"/>
          <w:i w:val="0"/>
          <w:sz w:val="24"/>
        </w:rPr>
        <w:t xml:space="preserve">National Treasury Employees Union. (2023). </w:t>
      </w:r>
      <w:r>
        <w:rPr>
          <w:rFonts w:ascii="Times New Roman" w:hAnsi="Times New Roman"/>
          <w:i/>
          <w:sz w:val="24"/>
        </w:rPr>
        <w:t>NTEU survey: Federal employees say telework is key to recruitment and retention</w:t>
      </w:r>
      <w:r>
        <w:rPr>
          <w:rFonts w:ascii="Times New Roman" w:hAnsi="Times New Roman"/>
          <w:i w:val="0"/>
          <w:sz w:val="24"/>
        </w:rPr>
        <w:t>. NTEU Press Release.</w:t>
      </w:r>
    </w:p>
    <w:p>
      <w:pPr>
        <w:spacing w:line="480" w:lineRule="auto" w:after="0" w:before="0"/>
        <w:ind w:left="720" w:hanging="720"/>
        <w:jc w:val="left"/>
      </w:pPr>
      <w:r>
        <w:rPr>
          <w:rFonts w:ascii="Times New Roman" w:hAnsi="Times New Roman"/>
          <w:i w:val="0"/>
          <w:sz w:val="24"/>
        </w:rPr>
        <w:t xml:space="preserve">Partnership for Public Service. (2023). </w:t>
      </w:r>
      <w:r>
        <w:rPr>
          <w:rFonts w:ascii="Times New Roman" w:hAnsi="Times New Roman"/>
          <w:i/>
          <w:sz w:val="24"/>
        </w:rPr>
        <w:t>Federal workforce priorities report: Building the workforce of the future</w:t>
      </w:r>
      <w:r>
        <w:rPr>
          <w:rFonts w:ascii="Times New Roman" w:hAnsi="Times New Roman"/>
          <w:i w:val="0"/>
          <w:sz w:val="24"/>
        </w:rPr>
        <w:t>. Partnership for Public Service.</w:t>
      </w:r>
    </w:p>
    <w:p>
      <w:pPr>
        <w:spacing w:line="480" w:lineRule="auto" w:after="0" w:before="0"/>
        <w:ind w:left="720" w:hanging="720"/>
        <w:jc w:val="left"/>
      </w:pPr>
      <w:r>
        <w:rPr>
          <w:rFonts w:ascii="Times New Roman" w:hAnsi="Times New Roman"/>
          <w:i w:val="0"/>
          <w:sz w:val="24"/>
        </w:rPr>
        <w:t xml:space="preserve">Saks, A. M. (2006). Antecedents and consequences of employee engagement. </w:t>
      </w:r>
      <w:r>
        <w:rPr>
          <w:rFonts w:ascii="Times New Roman" w:hAnsi="Times New Roman"/>
          <w:i/>
          <w:sz w:val="24"/>
        </w:rPr>
        <w:t>Journal of Managerial Psychology, 21</w:t>
      </w:r>
      <w:r>
        <w:rPr>
          <w:rFonts w:ascii="Times New Roman" w:hAnsi="Times New Roman"/>
          <w:i w:val="0"/>
          <w:sz w:val="24"/>
        </w:rPr>
        <w:t>(7), 600–619. https://doi.org/10.1108/02683940610690169</w:t>
      </w:r>
    </w:p>
    <w:p>
      <w:pPr>
        <w:spacing w:line="480" w:lineRule="auto" w:after="0" w:before="0"/>
        <w:ind w:left="720" w:hanging="720"/>
        <w:jc w:val="left"/>
      </w:pPr>
      <w:r>
        <w:rPr>
          <w:rFonts w:ascii="Times New Roman" w:hAnsi="Times New Roman"/>
          <w:i w:val="0"/>
          <w:sz w:val="24"/>
        </w:rPr>
        <w:t xml:space="preserve">Shockley, K. M., &amp; Allen, T. D. (2007). When flexibility helps: Another look at the availability of flexible work arrangements and work-family conflict. </w:t>
      </w:r>
      <w:r>
        <w:rPr>
          <w:rFonts w:ascii="Times New Roman" w:hAnsi="Times New Roman"/>
          <w:i/>
          <w:sz w:val="24"/>
        </w:rPr>
        <w:t>Journal of Vocational Behavior, 71</w:t>
      </w:r>
      <w:r>
        <w:rPr>
          <w:rFonts w:ascii="Times New Roman" w:hAnsi="Times New Roman"/>
          <w:i w:val="0"/>
          <w:sz w:val="24"/>
        </w:rPr>
        <w:t>(3), 479–493. https://doi.org/10.1016/j.jvb.2007.08.006</w:t>
      </w:r>
    </w:p>
    <w:p>
      <w:pPr>
        <w:spacing w:line="480" w:lineRule="auto" w:after="0" w:before="0"/>
        <w:ind w:left="720" w:hanging="720"/>
        <w:jc w:val="left"/>
      </w:pPr>
      <w:r>
        <w:rPr>
          <w:rFonts w:ascii="Times New Roman" w:hAnsi="Times New Roman"/>
          <w:i w:val="0"/>
          <w:sz w:val="24"/>
        </w:rPr>
        <w:t xml:space="preserve">U.S. Office of Personnel Management. (2023). </w:t>
      </w:r>
      <w:r>
        <w:rPr>
          <w:rFonts w:ascii="Times New Roman" w:hAnsi="Times New Roman"/>
          <w:i/>
          <w:sz w:val="24"/>
        </w:rPr>
        <w:t>Status of telework in the federal government: Report to Congress, fiscal year 2022</w:t>
      </w:r>
      <w:r>
        <w:rPr>
          <w:rFonts w:ascii="Times New Roman" w:hAnsi="Times New Roman"/>
          <w:i w:val="0"/>
          <w:sz w:val="24"/>
        </w:rPr>
        <w:t>.</w:t>
      </w:r>
    </w:p>
    <w:p>
      <w:pPr>
        <w:spacing w:line="480" w:lineRule="auto" w:after="0" w:before="0"/>
        <w:ind w:left="720" w:hanging="720"/>
        <w:jc w:val="left"/>
      </w:pPr>
      <w:r>
        <w:rPr>
          <w:rFonts w:ascii="Times New Roman" w:hAnsi="Times New Roman"/>
          <w:i w:val="0"/>
          <w:sz w:val="24"/>
        </w:rPr>
        <w:t xml:space="preserve">U.S. Office of Personnel Management. (2024). </w:t>
      </w:r>
      <w:r>
        <w:rPr>
          <w:rFonts w:ascii="Times New Roman" w:hAnsi="Times New Roman"/>
          <w:i/>
          <w:sz w:val="24"/>
        </w:rPr>
        <w:t>Federal Employee Viewpoint Survey: Technical report 2024</w:t>
      </w:r>
      <w:r>
        <w:rPr>
          <w:rFonts w:ascii="Times New Roman" w:hAnsi="Times New Roman"/>
          <w:i w:val="0"/>
          <w:sz w:val="24"/>
        </w:rPr>
        <w:t>.</w:t>
      </w:r>
    </w:p>
    <w:p>
      <w:pPr>
        <w:spacing w:line="480" w:lineRule="auto" w:after="0" w:before="0"/>
        <w:ind w:left="720" w:hanging="720"/>
        <w:jc w:val="left"/>
      </w:pPr>
      <w:r>
        <w:rPr>
          <w:rFonts w:ascii="Times New Roman" w:hAnsi="Times New Roman"/>
          <w:i w:val="0"/>
          <w:sz w:val="24"/>
        </w:rPr>
        <w:t xml:space="preserve">Vaziri, H., Mandeville, A., Xu, V., &amp; Winkel, D. (2020). Flexible work arrangements and employee health: A meta-analytic review. </w:t>
      </w:r>
      <w:r>
        <w:rPr>
          <w:rFonts w:ascii="Times New Roman" w:hAnsi="Times New Roman"/>
          <w:i/>
          <w:sz w:val="24"/>
        </w:rPr>
        <w:t>Work &amp; Stress, 34</w:t>
      </w:r>
      <w:r>
        <w:rPr>
          <w:rFonts w:ascii="Times New Roman" w:hAnsi="Times New Roman"/>
          <w:i w:val="0"/>
          <w:sz w:val="24"/>
        </w:rPr>
        <w:t>(1), 40–65.</w:t>
      </w:r>
    </w:p>
    <w:p>
      <w:pPr>
        <w:spacing w:line="480" w:lineRule="auto" w:after="0" w:before="0"/>
        <w:ind w:left="720" w:hanging="720"/>
        <w:jc w:val="left"/>
      </w:pPr>
      <w:r>
        <w:rPr>
          <w:rFonts w:ascii="Times New Roman" w:hAnsi="Times New Roman"/>
          <w:i w:val="0"/>
          <w:sz w:val="24"/>
        </w:rPr>
        <w:t xml:space="preserve">Wang, B., Liu, Y., Qian, J., &amp; Parker, S. K. (2021). Achieving effective remote working during the COVID-19 pandemic: A work design perspective. </w:t>
      </w:r>
      <w:r>
        <w:rPr>
          <w:rFonts w:ascii="Times New Roman" w:hAnsi="Times New Roman"/>
          <w:i/>
          <w:sz w:val="24"/>
        </w:rPr>
        <w:t>Applied Psychology: An International Review, 70</w:t>
      </w:r>
      <w:r>
        <w:rPr>
          <w:rFonts w:ascii="Times New Roman" w:hAnsi="Times New Roman"/>
          <w:i w:val="0"/>
          <w:sz w:val="24"/>
        </w:rPr>
        <w:t>(1), 16–59. https://doi.org/10.1111/apps.12290</w:t>
      </w:r>
    </w:p>
    <w:sectPr>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Parekh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Parekh</dc:creator>
  <cp:keywords/>
  <dc:description/>
  <cp:lastModifiedBy>Karan Parekh</cp:lastModifiedBy>
  <cp:revision>1</cp:revision>
  <dcterms:created xsi:type="dcterms:W3CDTF">2013-12-23T23:15:00Z</dcterms:created>
  <dcterms:modified xsi:type="dcterms:W3CDTF">2013-12-23T23:15:00Z</dcterms:modified>
  <cp:category/>
</cp:coreProperties>
</file>