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Arial" w:cs="Arial" w:eastAsia="Arial" w:hAnsi="Arial"/>
          <w:b w:val="false"/>
          <w:bCs w:val="false"/>
          <w:sz w:val="28"/>
          <w:szCs w:val="28"/>
        </w:rPr>
        <w:t xml:space="preserve">BSc Applied Management</w:t>
      </w:r>
    </w:p>
    <w:p>
      <w:pPr>
        <w:spacing w:after="720"/>
        <w:jc w:val="center"/>
      </w:pPr>
      <w:r>
        <w:rPr>
          <w:rFonts w:ascii="Arial" w:cs="Arial" w:eastAsia="Arial" w:hAnsi="Arial"/>
          <w:b w:val="false"/>
          <w:bCs w:val="false"/>
          <w:sz w:val="28"/>
          <w:szCs w:val="28"/>
        </w:rPr>
        <w:t xml:space="preserve">Applied Operations Management</w:t>
      </w:r>
    </w:p>
    <w:p>
      <w:pPr>
        <w:spacing w:after="360"/>
        <w:jc w:val="center"/>
      </w:pPr>
      <w:r>
        <w:rPr>
          <w:rFonts w:ascii="Arial" w:cs="Arial" w:eastAsia="Arial" w:hAnsi="Arial"/>
          <w:b/>
          <w:bCs/>
          <w:sz w:val="36"/>
          <w:szCs w:val="36"/>
        </w:rPr>
        <w:t xml:space="preserve">Formative Coursework CW4</w:t>
      </w:r>
    </w:p>
    <w:p>
      <w:pPr>
        <w:spacing w:after="720"/>
        <w:jc w:val="center"/>
      </w:pPr>
      <w:r>
        <w:rPr>
          <w:rFonts w:ascii="Arial" w:cs="Arial" w:eastAsia="Arial" w:hAnsi="Arial"/>
          <w:b/>
          <w:bCs/>
          <w:sz w:val="30"/>
          <w:szCs w:val="30"/>
        </w:rPr>
        <w:t xml:space="preserve">UrbanStay Boutique Hotels Ltd: Operational Challenges and Root Causes</w:t>
      </w:r>
    </w:p>
    <w:p>
      <w:pPr>
        <w:spacing w:after="120"/>
        <w:jc w:val="center"/>
      </w:pPr>
      <w:r>
        <w:rPr>
          <w:rFonts w:ascii="Arial" w:cs="Arial" w:eastAsia="Arial" w:hAnsi="Arial"/>
          <w:b w:val="false"/>
          <w:bCs w:val="false"/>
          <w:sz w:val="24"/>
          <w:szCs w:val="24"/>
        </w:rPr>
        <w:t xml:space="preserve">SRN: [insert SRN]</w:t>
      </w:r>
    </w:p>
    <w:p>
      <w:pPr>
        <w:spacing w:after="120"/>
        <w:jc w:val="center"/>
      </w:pPr>
      <w:r>
        <w:rPr>
          <w:rFonts w:ascii="Arial" w:cs="Arial" w:eastAsia="Arial" w:hAnsi="Arial"/>
          <w:b w:val="false"/>
          <w:bCs w:val="false"/>
          <w:sz w:val="24"/>
          <w:szCs w:val="24"/>
        </w:rPr>
        <w:t xml:space="preserve">Date of submission: [insert date]</w:t>
      </w:r>
    </w:p>
    <w:p>
      <w:pPr>
        <w:spacing w:after="120"/>
        <w:jc w:val="center"/>
      </w:pPr>
      <w:r>
        <w:rPr>
          <w:rFonts w:ascii="Arial" w:cs="Arial" w:eastAsia="Arial" w:hAnsi="Arial"/>
          <w:b w:val="false"/>
          <w:bCs w:val="false"/>
          <w:sz w:val="24"/>
          <w:szCs w:val="24"/>
        </w:rPr>
        <w:t xml:space="preserve">Word count (main body): [insert]</w:t>
      </w:r>
    </w:p>
    <w:p>
      <w:r>
        <w:br w:type="page"/>
      </w:r>
    </w:p>
    <w:p>
      <w:pPr>
        <w:spacing w:after="200"/>
      </w:pPr>
      <w:r>
        <w:rPr>
          <w:rFonts w:ascii="Arial" w:cs="Arial" w:eastAsia="Arial" w:hAnsi="Arial"/>
          <w:b/>
          <w:bCs/>
          <w:color w:val="1F3864"/>
          <w:sz w:val="28"/>
          <w:szCs w:val="28"/>
        </w:rPr>
        <w:t xml:space="preserve">Table of Contents</w:t>
      </w:r>
    </w:p>
    <w:p>
      <w:pPr>
        <w:tabs>
          <w:tab w:val="right" w:pos="9026" w:leader="dot"/>
        </w:tabs>
        <w:spacing w:after="120"/>
      </w:pPr>
      <w:r>
        <w:rPr>
          <w:rFonts w:ascii="Arial" w:cs="Arial" w:eastAsia="Arial" w:hAnsi="Arial"/>
          <w:sz w:val="22"/>
          <w:szCs w:val="22"/>
        </w:rPr>
        <w:t xml:space="preserve">Introduction	3</w:t>
      </w:r>
    </w:p>
    <w:p>
      <w:pPr>
        <w:tabs>
          <w:tab w:val="right" w:pos="9026" w:leader="dot"/>
        </w:tabs>
        <w:spacing w:after="120"/>
      </w:pPr>
      <w:r>
        <w:rPr>
          <w:rFonts w:ascii="Arial" w:cs="Arial" w:eastAsia="Arial" w:hAnsi="Arial"/>
          <w:sz w:val="22"/>
          <w:szCs w:val="22"/>
        </w:rPr>
        <w:t xml:space="preserve">AC1: Variation Turns the Front Desk into a Bottleneck	3</w:t>
      </w:r>
    </w:p>
    <w:p>
      <w:pPr>
        <w:tabs>
          <w:tab w:val="right" w:pos="9026" w:leader="dot"/>
        </w:tabs>
        <w:spacing w:after="120"/>
      </w:pPr>
      <w:r>
        <w:rPr>
          <w:rFonts w:ascii="Arial" w:cs="Arial" w:eastAsia="Arial" w:hAnsi="Arial"/>
          <w:sz w:val="22"/>
          <w:szCs w:val="22"/>
        </w:rPr>
        <w:t xml:space="preserve">AC2: Root Causes, Recommendations and Comparison	3</w:t>
      </w:r>
    </w:p>
    <w:p>
      <w:pPr>
        <w:tabs>
          <w:tab w:val="right" w:pos="9026" w:leader="dot"/>
        </w:tabs>
        <w:spacing w:after="120"/>
      </w:pPr>
      <w:r>
        <w:rPr>
          <w:rFonts w:ascii="Arial" w:cs="Arial" w:eastAsia="Arial" w:hAnsi="Arial"/>
          <w:sz w:val="22"/>
          <w:szCs w:val="22"/>
        </w:rPr>
        <w:t xml:space="preserve">References	6</w:t>
      </w:r>
    </w:p>
    <w:p>
      <w:pPr>
        <w:tabs>
          <w:tab w:val="right" w:pos="9026" w:leader="dot"/>
        </w:tabs>
        <w:spacing w:after="120"/>
      </w:pPr>
      <w:r>
        <w:rPr>
          <w:rFonts w:ascii="Arial" w:cs="Arial" w:eastAsia="Arial" w:hAnsi="Arial"/>
          <w:sz w:val="22"/>
          <w:szCs w:val="22"/>
        </w:rPr>
        <w:t xml:space="preserve">Appendix	7</w:t>
      </w:r>
    </w:p>
    <w:p>
      <w:r>
        <w:br w:type="page"/>
      </w:r>
    </w:p>
    <w:p>
      <w:pPr>
        <w:pStyle w:val="Heading1"/>
      </w:pPr>
      <w:r>
        <w:rPr>
          <w:rFonts w:ascii="Arial" w:cs="Arial" w:eastAsia="Arial" w:hAnsi="Arial"/>
        </w:rPr>
        <w:t xml:space="preserve">Introduction</w:t>
      </w:r>
    </w:p>
    <w:p>
      <w:pPr>
        <w:spacing w:after="120" w:line="276"/>
        <w:jc w:val="both"/>
      </w:pPr>
      <w:r>
        <w:rPr>
          <w:rFonts w:ascii="Arial" w:cs="Arial" w:eastAsia="Arial" w:hAnsi="Arial"/>
          <w:sz w:val="22"/>
          <w:szCs w:val="22"/>
        </w:rPr>
        <w:t xml:space="preserve">UrbanStay Boutique Hotels Ltd operates hybrid personalised-and-standardised hotels in London, Manchester and Birmingham, within a UK hospitality market where reputation is shaped by online reviews. This report examines two challenges: check-in and check-out delays, and workforce over- and understaffing. It applies the Input-Transformation-Output (ITO) model, the 4Vs and the performance objectives (Slack, Brandon-Jones and Burgess, 2022). It argues that both challenges share one root cause: capacity planned on historical averages in a high-variation system. AC1 diagnoses the challenges; AC2 analyses causes, recommends action and compares citizenM.</w:t>
      </w:r>
    </w:p>
    <w:p>
      <w:pPr>
        <w:pStyle w:val="Heading1"/>
      </w:pPr>
      <w:r>
        <w:rPr>
          <w:rFonts w:ascii="Arial" w:cs="Arial" w:eastAsia="Arial" w:hAnsi="Arial"/>
        </w:rPr>
        <w:t xml:space="preserve">AC1: Variation Turns the Front Desk into a Bottleneck</w:t>
      </w:r>
    </w:p>
    <w:p>
      <w:pPr>
        <w:spacing w:after="120" w:line="276"/>
        <w:jc w:val="both"/>
      </w:pPr>
      <w:r>
        <w:rPr>
          <w:rFonts w:ascii="Arial" w:cs="Arial" w:eastAsia="Arial" w:hAnsi="Arial"/>
          <w:b/>
          <w:bCs/>
          <w:sz w:val="22"/>
          <w:szCs w:val="22"/>
        </w:rPr>
        <w:t xml:space="preserve">Challenge 1: Check-in and check-out delays.</w:t>
      </w:r>
      <w:r>
        <w:rPr>
          <w:rFonts w:ascii="Arial" w:cs="Arial" w:eastAsia="Arial" w:hAnsi="Arial"/>
          <w:sz w:val="22"/>
          <w:szCs w:val="22"/>
        </w:rPr>
        <w:t xml:space="preserve"> Guests queue because manual processes, peak understaffing and inconsistent digital use converge at the front desk. In ITO terms, guests are transformed resources (Slack, Brandon-Jones and Burgess, 2022), so the queue is part of the product rather than a by-product. Arrivals show high variation and the process has high visibility: guests watch the delay unfold, and unoccupied or uncertain waiting feels longer (Maister, 1985). The desk acts as the system bottleneck, capping throughput regardless of capacity elsewhere (Goldratt and Cox, 1984). Little's (1961) relationship, L = λW, shows that peak arrival rates inflate queues unless service capacity expands. Variety compounds this: personalised requests are exceptions that standardised check-in cannot absorb, lengthening transactions. Speed and dependability suffer directly, and quality follows because responsiveness is a core service-quality dimension (Parasuraman, Zeithaml and Berry, 1988). This contradicts the strategy of personalised experiences, and online reviews amplify the reputational damage.</w:t>
      </w:r>
    </w:p>
    <w:p>
      <w:pPr>
        <w:spacing w:after="120" w:line="276"/>
        <w:jc w:val="both"/>
      </w:pPr>
      <w:r>
        <w:rPr>
          <w:rFonts w:ascii="Arial" w:cs="Arial" w:eastAsia="Arial" w:hAnsi="Arial"/>
          <w:b/>
          <w:bCs/>
          <w:sz w:val="22"/>
          <w:szCs w:val="22"/>
        </w:rPr>
        <w:t xml:space="preserve">Challenge 2: Workforce imbalance.</w:t>
      </w:r>
      <w:r>
        <w:rPr>
          <w:rFonts w:ascii="Arial" w:cs="Arial" w:eastAsia="Arial" w:hAnsi="Arial"/>
          <w:sz w:val="22"/>
          <w:szCs w:val="22"/>
        </w:rPr>
        <w:t xml:space="preserve"> Ineffective planning creates surplus labour off-peak and strain at peak. Staff are transforming resources, so a mismatch between capacity and demand degrades the process itself. Because services cannot be stockpiled, idle off-peak labour is irrecoverable cost, while peak shortages are paid for through service failure (Sasser, 1976). Cost and dependability objectives are hit simultaneously, and stretched teams deliver inconsistent quality across branches (Johnston, Clark and Shulver, 2012). Here variation appears as a cost problem, not a speed problem. Flexibility, the ability to reconfigure when demand shifts, is also constrained.</w:t>
      </w:r>
    </w:p>
    <w:p>
      <w:pPr>
        <w:spacing w:after="120" w:line="276"/>
        <w:jc w:val="both"/>
      </w:pPr>
      <w:r>
        <w:rPr>
          <w:rFonts w:ascii="Arial" w:cs="Arial" w:eastAsia="Arial" w:hAnsi="Arial"/>
          <w:b/>
          <w:bCs/>
          <w:sz w:val="22"/>
          <w:szCs w:val="22"/>
        </w:rPr>
        <w:t xml:space="preserve">Interaction and external pressure.</w:t>
      </w:r>
      <w:r>
        <w:rPr>
          <w:rFonts w:ascii="Arial" w:cs="Arial" w:eastAsia="Arial" w:hAnsi="Arial"/>
          <w:sz w:val="22"/>
          <w:szCs w:val="22"/>
        </w:rPr>
        <w:t xml:space="preserve"> The challenges compound. A missed forecast understaffs the desk; managers respond with overtime or agency cover; surplus rostering then inflates off-peak cost; and budget pressure starves investment in the technology the strategy promises. External pressures intensify the loop: successive National Living Wage and employer National Insurance increases make every surplus labour hour dearer (UK Government, 2025), while reliance on online platforms makes demand harder to predict (Law, Buhalis and Cobanoglu, 2014).</w:t>
      </w:r>
    </w:p>
    <w:p>
      <w:pPr>
        <w:spacing w:after="120" w:line="276"/>
        <w:jc w:val="both"/>
      </w:pPr>
      <w:r>
        <w:rPr>
          <w:rFonts w:ascii="Arial" w:cs="Arial" w:eastAsia="Arial" w:hAnsi="Arial"/>
          <w:b/>
          <w:bCs/>
          <w:sz w:val="22"/>
          <w:szCs w:val="22"/>
        </w:rPr>
        <w:t xml:space="preserve">Counter-view.</w:t>
      </w:r>
      <w:r>
        <w:rPr>
          <w:rFonts w:ascii="Arial" w:cs="Arial" w:eastAsia="Arial" w:hAnsi="Arial"/>
          <w:sz w:val="22"/>
          <w:szCs w:val="22"/>
        </w:rPr>
        <w:t xml:space="preserve"> Some slack may be deliberate, since unhurried interaction sustains the personalisation that justifies premium rates (Zeithaml, Bitner and Gremler, 2018). However, slack that is unplanned, unevenly distributed and coexists with queues signals poor matching, not personalisation.</w:t>
      </w:r>
    </w:p>
    <w:p>
      <w:pPr>
        <w:pStyle w:val="Heading1"/>
      </w:pPr>
      <w:r>
        <w:rPr>
          <w:rFonts w:ascii="Arial" w:cs="Arial" w:eastAsia="Arial" w:hAnsi="Arial"/>
        </w:rPr>
        <w:t xml:space="preserve">AC2: Root Causes, Recommendations and Comparison</w:t>
      </w:r>
    </w:p>
    <w:p>
      <w:pPr>
        <w:spacing w:after="120" w:line="276"/>
        <w:jc w:val="both"/>
      </w:pPr>
      <w:r>
        <w:rPr>
          <w:rFonts w:ascii="Arial" w:cs="Arial" w:eastAsia="Arial" w:hAnsi="Arial"/>
          <w:b/>
          <w:bCs/>
          <w:sz w:val="22"/>
          <w:szCs w:val="22"/>
        </w:rPr>
        <w:t xml:space="preserve">Root causes.</w:t>
      </w:r>
      <w:r>
        <w:rPr>
          <w:rFonts w:ascii="Arial" w:cs="Arial" w:eastAsia="Arial" w:hAnsi="Arial"/>
          <w:sz w:val="22"/>
          <w:szCs w:val="22"/>
        </w:rPr>
        <w:t xml:space="preserve"> Four causes explain both challenges. First, demand management: forecasts rely on historical averages without real-time data, missing events and platform-driven surges (Kimes, 1989; Ivanov, 2014). Second, capacity planning: near-level rosters face volatile demand, whereas a chase strategy aligns resources to demand (Heizer, Render and Munson, 2020). Third, workforce planning: single-skill roles prevent redeployment, lacking the numerical and functional flexibility of the flexible firm (Atkinson, 1984). Fourth, process design: manual steps and uneven digital adoption lower front-desk utilisation, consuming scarce staff time on transactions.</w:t>
      </w:r>
    </w:p>
    <w:p>
      <w:pPr>
        <w:keepNext/>
        <w:spacing w:after="80" w:before="120"/>
      </w:pPr>
      <w:r>
        <w:rPr>
          <w:rFonts w:ascii="Arial" w:cs="Arial" w:eastAsia="Arial" w:hAnsi="Arial"/>
          <w:b/>
          <w:bCs/>
          <w:sz w:val="22"/>
          <w:szCs w:val="22"/>
        </w:rPr>
        <w:t xml:space="preserve">Table 1: Evaluation of UrbanStay's capacity and demand management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700"/>
        <w:gridCol w:w="2126"/>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Practice area</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Current practice</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Evaluation</w:t>
            </w:r>
          </w:p>
        </w:tc>
        <w:tc>
          <w:tcPr>
            <w:tcW w:type="dxa" w:w="21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Consequence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Demand forecasting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Historical averages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Ignores variation and events</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Missed peaks</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Capacity strategy</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Near-level rosters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Poor fit with volatile demand</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Queues and idle labour</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Workforce flexibility</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Single-skill roles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Low functional flexibility</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No redeployment</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Resource utilisation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Manual, uneven digital</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Transactions absorb staff time</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Desk bottleneck</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Booking management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Platform-driven, unmanaged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Demand not shaped</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Peaks amplified</w:t>
            </w:r>
          </w:p>
        </w:tc>
      </w:tr>
    </w:tbl>
    <w:p>
      <w:pPr>
        <w:spacing w:after="160" w:before="60"/>
      </w:pPr>
      <w:r>
        <w:rPr>
          <w:rFonts w:ascii="Arial" w:cs="Arial" w:eastAsia="Arial" w:hAnsi="Arial"/>
          <w:i/>
          <w:iCs/>
          <w:sz w:val="18"/>
          <w:szCs w:val="18"/>
        </w:rPr>
        <w:t xml:space="preserve">Source: analysis of the UrbanStay case.</w:t>
      </w:r>
    </w:p>
    <w:p>
      <w:pPr>
        <w:spacing w:after="120" w:line="276"/>
        <w:jc w:val="both"/>
      </w:pPr>
      <w:r>
        <w:rPr>
          <w:rFonts w:ascii="Arial" w:cs="Arial" w:eastAsia="Arial" w:hAnsi="Arial"/>
          <w:b/>
          <w:bCs/>
          <w:sz w:val="22"/>
          <w:szCs w:val="22"/>
        </w:rPr>
        <w:t xml:space="preserve">Management responsibility.</w:t>
      </w:r>
      <w:r>
        <w:rPr>
          <w:rFonts w:ascii="Arial" w:cs="Arial" w:eastAsia="Arial" w:hAnsi="Arial"/>
          <w:sz w:val="22"/>
          <w:szCs w:val="22"/>
        </w:rPr>
        <w:t xml:space="preserve"> These are management decisions, not accidents. Managers set rosters from averages and underinvested in system integration, while strategy promises "technology-enabled operations". This contradiction between declared intent and resourcing is the deeper root cause: the capability to forecast and flex was never built.</w:t>
      </w:r>
    </w:p>
    <w:p>
      <w:pPr>
        <w:spacing w:after="120" w:line="276"/>
        <w:jc w:val="both"/>
      </w:pPr>
      <w:r>
        <w:rPr>
          <w:rFonts w:ascii="Arial" w:cs="Arial" w:eastAsia="Arial" w:hAnsi="Arial"/>
          <w:b/>
          <w:bCs/>
          <w:sz w:val="22"/>
          <w:szCs w:val="22"/>
        </w:rPr>
        <w:t xml:space="preserve">Recommendations (prioritised).</w:t>
      </w:r>
    </w:p>
    <w:p>
      <w:pPr>
        <w:pStyle w:val="ListParagraph"/>
        <w:numPr>
          <w:ilvl w:val="0"/>
          <w:numId w:val="2"/>
        </w:numPr>
        <w:spacing w:after="120" w:line="276"/>
        <w:jc w:val="both"/>
      </w:pPr>
      <w:r>
        <w:rPr>
          <w:rFonts w:ascii="Arial" w:cs="Arial" w:eastAsia="Arial" w:hAnsi="Arial"/>
          <w:sz w:val="22"/>
          <w:szCs w:val="22"/>
        </w:rPr>
        <w:t xml:space="preserve">Build a rolling forecast integrating booking-pace, event and platform data, because forecast accuracy enables every other fix (Kimes, 1989). KPI: forecast error.</w:t>
      </w:r>
    </w:p>
    <w:p>
      <w:pPr>
        <w:pStyle w:val="ListParagraph"/>
        <w:numPr>
          <w:ilvl w:val="0"/>
          <w:numId w:val="2"/>
        </w:numPr>
        <w:spacing w:after="120" w:line="276"/>
        <w:jc w:val="both"/>
      </w:pPr>
      <w:r>
        <w:rPr>
          <w:rFonts w:ascii="Arial" w:cs="Arial" w:eastAsia="Arial" w:hAnsi="Arial"/>
          <w:sz w:val="22"/>
          <w:szCs w:val="22"/>
        </w:rPr>
        <w:t xml:space="preserve">Introduce annualised hours and cross-trained front-of-house roles to chase demand, accepting training cost and resistance (Atkinson, 1984).</w:t>
      </w:r>
    </w:p>
    <w:p>
      <w:pPr>
        <w:pStyle w:val="ListParagraph"/>
        <w:numPr>
          <w:ilvl w:val="0"/>
          <w:numId w:val="2"/>
        </w:numPr>
        <w:spacing w:after="120" w:line="276"/>
        <w:jc w:val="both"/>
      </w:pPr>
      <w:r>
        <w:rPr>
          <w:rFonts w:ascii="Arial" w:cs="Arial" w:eastAsia="Arial" w:hAnsi="Arial"/>
          <w:sz w:val="22"/>
          <w:szCs w:val="22"/>
        </w:rPr>
        <w:t xml:space="preserve">Offer pre-arrival digital check-in, moving transactions out of the bottleneck; self-service satisfies guests only when reliable (Meuter et al., 2000). KPI: median check-in time.</w:t>
      </w:r>
    </w:p>
    <w:p>
      <w:pPr>
        <w:spacing w:after="120" w:line="276"/>
        <w:jc w:val="both"/>
      </w:pPr>
      <w:r>
        <w:rPr>
          <w:rFonts w:ascii="Arial" w:cs="Arial" w:eastAsia="Arial" w:hAnsi="Arial"/>
          <w:b/>
          <w:bCs/>
          <w:sz w:val="22"/>
          <w:szCs w:val="22"/>
        </w:rPr>
        <w:t xml:space="preserve">Competitor comparison.</w:t>
      </w:r>
      <w:r>
        <w:rPr>
          <w:rFonts w:ascii="Arial" w:cs="Arial" w:eastAsia="Arial" w:hAnsi="Arial"/>
          <w:sz w:val="22"/>
          <w:szCs w:val="22"/>
        </w:rPr>
        <w:t xml:space="preserve"> citizenM, a comparable design-led urban brand, combines self-service kiosks and mobile check-in with multi-skilled "ambassadors" who host rather than process (citizenM, 2025). This supports recommendations 2 and 3. However, UrbanStay's proposition rests on personalisation, so copying full automation risks its differentiation; its compact rooms and tech-tolerant guests also differ from UrbanStay's mixed clientele, so its results are indicative rather than transferable. A tiered approach, self-service for willing guests and hosted arrival for others, preserves identity and lets customers self-select, smoothing peaks on staffed capacity (Fitzsimmons and Fitzsimmons, 2014).</w:t>
      </w:r>
    </w:p>
    <w:p>
      <w:pPr>
        <w:spacing w:after="120" w:line="276"/>
        <w:jc w:val="both"/>
      </w:pPr>
      <w:r>
        <w:rPr>
          <w:rFonts w:ascii="Arial" w:cs="Arial" w:eastAsia="Arial" w:hAnsi="Arial"/>
          <w:b/>
          <w:bCs/>
          <w:sz w:val="22"/>
          <w:szCs w:val="22"/>
        </w:rPr>
        <w:t xml:space="preserve">Evaluation and next steps.</w:t>
      </w:r>
      <w:r>
        <w:rPr>
          <w:rFonts w:ascii="Arial" w:cs="Arial" w:eastAsia="Arial" w:hAnsi="Arial"/>
          <w:sz w:val="22"/>
          <w:szCs w:val="22"/>
        </w:rPr>
        <w:t xml:space="preserve"> Risks remain: forecasting depends on data quality, and cross-training may dilute expertise. If forecasting does not improve, flexible staffing merely reacts faster to wrong signals, so recommendation 1 is a precondition, not an option. Sequencing matters: recommendation 1 is cheapest and de-risks the others, whereas recommendation 3 needs capital and integration, and without accurate forecasts rosters still misfire. Flexible contracts may carry premium pay, so the case rests on revenue protected through better reviews, not savings alone. Piloting in London, tracking check-in time and labour cost per occupied room, then scaling, limits exposure.</w:t>
      </w:r>
    </w:p>
    <w:p>
      <w:r>
        <w:br w:type="page"/>
      </w:r>
    </w:p>
    <w:p>
      <w:pPr>
        <w:pStyle w:val="Heading1"/>
      </w:pPr>
      <w:r>
        <w:rPr>
          <w:rFonts w:ascii="Arial" w:cs="Arial" w:eastAsia="Arial" w:hAnsi="Arial"/>
        </w:rPr>
        <w:t xml:space="preserve">References</w:t>
      </w:r>
    </w:p>
    <w:p>
      <w:pPr>
        <w:spacing w:after="120" w:line="276"/>
        <w:ind w:left="567" w:hanging="567"/>
        <w:jc w:val="left"/>
      </w:pPr>
      <w:r>
        <w:rPr>
          <w:rFonts w:ascii="Arial" w:cs="Arial" w:eastAsia="Arial" w:hAnsi="Arial"/>
          <w:sz w:val="22"/>
          <w:szCs w:val="22"/>
        </w:rPr>
        <w:t xml:space="preserve">Atkinson, J. (1984) 'Manpower strategies for flexible organisations', </w:t>
      </w:r>
      <w:r>
        <w:rPr>
          <w:rFonts w:ascii="Arial" w:cs="Arial" w:eastAsia="Arial" w:hAnsi="Arial"/>
          <w:i/>
          <w:iCs/>
          <w:sz w:val="22"/>
          <w:szCs w:val="22"/>
        </w:rPr>
        <w:t xml:space="preserve">Personnel Management</w:t>
      </w:r>
      <w:r>
        <w:rPr>
          <w:rFonts w:ascii="Arial" w:cs="Arial" w:eastAsia="Arial" w:hAnsi="Arial"/>
          <w:sz w:val="22"/>
          <w:szCs w:val="22"/>
        </w:rPr>
        <w:t xml:space="preserve">, 16(8), pp. 28-31.</w:t>
      </w:r>
    </w:p>
    <w:p>
      <w:pPr>
        <w:spacing w:after="120" w:line="276"/>
        <w:ind w:left="567" w:hanging="567"/>
        <w:jc w:val="left"/>
      </w:pPr>
      <w:r>
        <w:rPr>
          <w:rFonts w:ascii="Arial" w:cs="Arial" w:eastAsia="Arial" w:hAnsi="Arial"/>
          <w:sz w:val="22"/>
          <w:szCs w:val="22"/>
        </w:rPr>
        <w:t xml:space="preserve">citizenM (2025) </w:t>
      </w:r>
      <w:r>
        <w:rPr>
          <w:rFonts w:ascii="Arial" w:cs="Arial" w:eastAsia="Arial" w:hAnsi="Arial"/>
          <w:i/>
          <w:iCs/>
          <w:sz w:val="22"/>
          <w:szCs w:val="22"/>
        </w:rPr>
        <w:t xml:space="preserve">citizenM hotels</w:t>
      </w:r>
      <w:r>
        <w:rPr>
          <w:rFonts w:ascii="Arial" w:cs="Arial" w:eastAsia="Arial" w:hAnsi="Arial"/>
          <w:sz w:val="22"/>
          <w:szCs w:val="22"/>
        </w:rPr>
        <w:t xml:space="preserve">. Available at: https://www.citizenm.com (Accessed: [insert date]).</w:t>
      </w:r>
    </w:p>
    <w:p>
      <w:pPr>
        <w:spacing w:after="120" w:line="276"/>
        <w:ind w:left="567" w:hanging="567"/>
        <w:jc w:val="left"/>
      </w:pPr>
      <w:r>
        <w:rPr>
          <w:rFonts w:ascii="Arial" w:cs="Arial" w:eastAsia="Arial" w:hAnsi="Arial"/>
          <w:sz w:val="22"/>
          <w:szCs w:val="22"/>
        </w:rPr>
        <w:t xml:space="preserve">Fitzsimmons, J.A. and Fitzsimmons, M.J. (2014) </w:t>
      </w:r>
      <w:r>
        <w:rPr>
          <w:rFonts w:ascii="Arial" w:cs="Arial" w:eastAsia="Arial" w:hAnsi="Arial"/>
          <w:i/>
          <w:iCs/>
          <w:sz w:val="22"/>
          <w:szCs w:val="22"/>
        </w:rPr>
        <w:t xml:space="preserve">Service management: operations, strategy, information technology</w:t>
      </w:r>
      <w:r>
        <w:rPr>
          <w:rFonts w:ascii="Arial" w:cs="Arial" w:eastAsia="Arial" w:hAnsi="Arial"/>
          <w:sz w:val="22"/>
          <w:szCs w:val="22"/>
        </w:rPr>
        <w:t xml:space="preserve">. 8th edn. New York: McGraw-Hill.</w:t>
      </w:r>
    </w:p>
    <w:p>
      <w:pPr>
        <w:spacing w:after="120" w:line="276"/>
        <w:ind w:left="567" w:hanging="567"/>
        <w:jc w:val="left"/>
      </w:pPr>
      <w:r>
        <w:rPr>
          <w:rFonts w:ascii="Arial" w:cs="Arial" w:eastAsia="Arial" w:hAnsi="Arial"/>
          <w:sz w:val="22"/>
          <w:szCs w:val="22"/>
        </w:rPr>
        <w:t xml:space="preserve">Goldratt, E.M. and Cox, J. (1984) </w:t>
      </w:r>
      <w:r>
        <w:rPr>
          <w:rFonts w:ascii="Arial" w:cs="Arial" w:eastAsia="Arial" w:hAnsi="Arial"/>
          <w:i/>
          <w:iCs/>
          <w:sz w:val="22"/>
          <w:szCs w:val="22"/>
        </w:rPr>
        <w:t xml:space="preserve">The goal: a process of ongoing improvement</w:t>
      </w:r>
      <w:r>
        <w:rPr>
          <w:rFonts w:ascii="Arial" w:cs="Arial" w:eastAsia="Arial" w:hAnsi="Arial"/>
          <w:sz w:val="22"/>
          <w:szCs w:val="22"/>
        </w:rPr>
        <w:t xml:space="preserve">. Great Barrington, MA: North River Press.</w:t>
      </w:r>
    </w:p>
    <w:p>
      <w:pPr>
        <w:spacing w:after="120" w:line="276"/>
        <w:ind w:left="567" w:hanging="567"/>
        <w:jc w:val="left"/>
      </w:pPr>
      <w:r>
        <w:rPr>
          <w:rFonts w:ascii="Arial" w:cs="Arial" w:eastAsia="Arial" w:hAnsi="Arial"/>
          <w:sz w:val="22"/>
          <w:szCs w:val="22"/>
        </w:rPr>
        <w:t xml:space="preserve">Heizer, J., Render, B. and Munson, C. (2020) </w:t>
      </w:r>
      <w:r>
        <w:rPr>
          <w:rFonts w:ascii="Arial" w:cs="Arial" w:eastAsia="Arial" w:hAnsi="Arial"/>
          <w:i/>
          <w:iCs/>
          <w:sz w:val="22"/>
          <w:szCs w:val="22"/>
        </w:rPr>
        <w:t xml:space="preserve">Operations management: sustainability and supply chain management</w:t>
      </w:r>
      <w:r>
        <w:rPr>
          <w:rFonts w:ascii="Arial" w:cs="Arial" w:eastAsia="Arial" w:hAnsi="Arial"/>
          <w:sz w:val="22"/>
          <w:szCs w:val="22"/>
        </w:rPr>
        <w:t xml:space="preserve">. 13th edn. Harlow: Pearson.</w:t>
      </w:r>
    </w:p>
    <w:p>
      <w:pPr>
        <w:spacing w:after="120" w:line="276"/>
        <w:ind w:left="567" w:hanging="567"/>
        <w:jc w:val="left"/>
      </w:pPr>
      <w:r>
        <w:rPr>
          <w:rFonts w:ascii="Arial" w:cs="Arial" w:eastAsia="Arial" w:hAnsi="Arial"/>
          <w:sz w:val="22"/>
          <w:szCs w:val="22"/>
        </w:rPr>
        <w:t xml:space="preserve">Ivanov, S. (2014) </w:t>
      </w:r>
      <w:r>
        <w:rPr>
          <w:rFonts w:ascii="Arial" w:cs="Arial" w:eastAsia="Arial" w:hAnsi="Arial"/>
          <w:i/>
          <w:iCs/>
          <w:sz w:val="22"/>
          <w:szCs w:val="22"/>
        </w:rPr>
        <w:t xml:space="preserve">Hotel revenue management: from theory to practice</w:t>
      </w:r>
      <w:r>
        <w:rPr>
          <w:rFonts w:ascii="Arial" w:cs="Arial" w:eastAsia="Arial" w:hAnsi="Arial"/>
          <w:sz w:val="22"/>
          <w:szCs w:val="22"/>
        </w:rPr>
        <w:t xml:space="preserve">. Varna: Zangador.</w:t>
      </w:r>
    </w:p>
    <w:p>
      <w:pPr>
        <w:spacing w:after="120" w:line="276"/>
        <w:ind w:left="567" w:hanging="567"/>
        <w:jc w:val="left"/>
      </w:pPr>
      <w:r>
        <w:rPr>
          <w:rFonts w:ascii="Arial" w:cs="Arial" w:eastAsia="Arial" w:hAnsi="Arial"/>
          <w:sz w:val="22"/>
          <w:szCs w:val="22"/>
        </w:rPr>
        <w:t xml:space="preserve">Johnston, R., Clark, G. and Shulver, M. (2012) </w:t>
      </w:r>
      <w:r>
        <w:rPr>
          <w:rFonts w:ascii="Arial" w:cs="Arial" w:eastAsia="Arial" w:hAnsi="Arial"/>
          <w:i/>
          <w:iCs/>
          <w:sz w:val="22"/>
          <w:szCs w:val="22"/>
        </w:rPr>
        <w:t xml:space="preserve">Service operations management: improving service delivery</w:t>
      </w:r>
      <w:r>
        <w:rPr>
          <w:rFonts w:ascii="Arial" w:cs="Arial" w:eastAsia="Arial" w:hAnsi="Arial"/>
          <w:sz w:val="22"/>
          <w:szCs w:val="22"/>
        </w:rPr>
        <w:t xml:space="preserve">. 4th edn. Harlow: Pearson.</w:t>
      </w:r>
    </w:p>
    <w:p>
      <w:pPr>
        <w:spacing w:after="120" w:line="276"/>
        <w:ind w:left="567" w:hanging="567"/>
        <w:jc w:val="left"/>
      </w:pPr>
      <w:r>
        <w:rPr>
          <w:rFonts w:ascii="Arial" w:cs="Arial" w:eastAsia="Arial" w:hAnsi="Arial"/>
          <w:sz w:val="22"/>
          <w:szCs w:val="22"/>
        </w:rPr>
        <w:t xml:space="preserve">Kimes, S.E. (1989) 'The basics of yield management', </w:t>
      </w:r>
      <w:r>
        <w:rPr>
          <w:rFonts w:ascii="Arial" w:cs="Arial" w:eastAsia="Arial" w:hAnsi="Arial"/>
          <w:i/>
          <w:iCs/>
          <w:sz w:val="22"/>
          <w:szCs w:val="22"/>
        </w:rPr>
        <w:t xml:space="preserve">Cornell Hotel and Restaurant Administration Quarterly</w:t>
      </w:r>
      <w:r>
        <w:rPr>
          <w:rFonts w:ascii="Arial" w:cs="Arial" w:eastAsia="Arial" w:hAnsi="Arial"/>
          <w:sz w:val="22"/>
          <w:szCs w:val="22"/>
        </w:rPr>
        <w:t xml:space="preserve">, 30(3), pp. 14-19.</w:t>
      </w:r>
    </w:p>
    <w:p>
      <w:pPr>
        <w:spacing w:after="120" w:line="276"/>
        <w:ind w:left="567" w:hanging="567"/>
        <w:jc w:val="left"/>
      </w:pPr>
      <w:r>
        <w:rPr>
          <w:rFonts w:ascii="Arial" w:cs="Arial" w:eastAsia="Arial" w:hAnsi="Arial"/>
          <w:sz w:val="22"/>
          <w:szCs w:val="22"/>
        </w:rPr>
        <w:t xml:space="preserve">Law, R., Buhalis, D. and Cobanoglu, C. (2014) 'Progress on information and communication technologies in hospitality and tourism', </w:t>
      </w:r>
      <w:r>
        <w:rPr>
          <w:rFonts w:ascii="Arial" w:cs="Arial" w:eastAsia="Arial" w:hAnsi="Arial"/>
          <w:i/>
          <w:iCs/>
          <w:sz w:val="22"/>
          <w:szCs w:val="22"/>
        </w:rPr>
        <w:t xml:space="preserve">International Journal of Contemporary Hospitality Management</w:t>
      </w:r>
      <w:r>
        <w:rPr>
          <w:rFonts w:ascii="Arial" w:cs="Arial" w:eastAsia="Arial" w:hAnsi="Arial"/>
          <w:sz w:val="22"/>
          <w:szCs w:val="22"/>
        </w:rPr>
        <w:t xml:space="preserve">, 26(5), pp. 727-750.</w:t>
      </w:r>
    </w:p>
    <w:p>
      <w:pPr>
        <w:spacing w:after="120" w:line="276"/>
        <w:ind w:left="567" w:hanging="567"/>
        <w:jc w:val="left"/>
      </w:pPr>
      <w:r>
        <w:rPr>
          <w:rFonts w:ascii="Arial" w:cs="Arial" w:eastAsia="Arial" w:hAnsi="Arial"/>
          <w:sz w:val="22"/>
          <w:szCs w:val="22"/>
        </w:rPr>
        <w:t xml:space="preserve">Little, J.D.C. (1961) 'A proof for the queuing formula: L = λW', </w:t>
      </w:r>
      <w:r>
        <w:rPr>
          <w:rFonts w:ascii="Arial" w:cs="Arial" w:eastAsia="Arial" w:hAnsi="Arial"/>
          <w:i/>
          <w:iCs/>
          <w:sz w:val="22"/>
          <w:szCs w:val="22"/>
        </w:rPr>
        <w:t xml:space="preserve">Operations Research</w:t>
      </w:r>
      <w:r>
        <w:rPr>
          <w:rFonts w:ascii="Arial" w:cs="Arial" w:eastAsia="Arial" w:hAnsi="Arial"/>
          <w:sz w:val="22"/>
          <w:szCs w:val="22"/>
        </w:rPr>
        <w:t xml:space="preserve">, 9(3), pp. 383-387.</w:t>
      </w:r>
    </w:p>
    <w:p>
      <w:pPr>
        <w:spacing w:after="120" w:line="276"/>
        <w:ind w:left="567" w:hanging="567"/>
        <w:jc w:val="left"/>
      </w:pPr>
      <w:r>
        <w:rPr>
          <w:rFonts w:ascii="Arial" w:cs="Arial" w:eastAsia="Arial" w:hAnsi="Arial"/>
          <w:sz w:val="22"/>
          <w:szCs w:val="22"/>
        </w:rPr>
        <w:t xml:space="preserve">Maister, D.H. (1985) 'The psychology of waiting lines', in Czepiel, J.A., Solomon, M.R. and Surprenant, C.F. (eds) </w:t>
      </w:r>
      <w:r>
        <w:rPr>
          <w:rFonts w:ascii="Arial" w:cs="Arial" w:eastAsia="Arial" w:hAnsi="Arial"/>
          <w:i/>
          <w:iCs/>
          <w:sz w:val="22"/>
          <w:szCs w:val="22"/>
        </w:rPr>
        <w:t xml:space="preserve">The service encounter</w:t>
      </w:r>
      <w:r>
        <w:rPr>
          <w:rFonts w:ascii="Arial" w:cs="Arial" w:eastAsia="Arial" w:hAnsi="Arial"/>
          <w:sz w:val="22"/>
          <w:szCs w:val="22"/>
        </w:rPr>
        <w:t xml:space="preserve">. Lexington, MA: Lexington Books, pp. 113-123.</w:t>
      </w:r>
    </w:p>
    <w:p>
      <w:pPr>
        <w:spacing w:after="120" w:line="276"/>
        <w:ind w:left="567" w:hanging="567"/>
        <w:jc w:val="left"/>
      </w:pPr>
      <w:r>
        <w:rPr>
          <w:rFonts w:ascii="Arial" w:cs="Arial" w:eastAsia="Arial" w:hAnsi="Arial"/>
          <w:sz w:val="22"/>
          <w:szCs w:val="22"/>
        </w:rPr>
        <w:t xml:space="preserve">Meuter, M.L., Ostrom, A.L., Roundtree, R.I. and Bitner, M.J. (2000) 'Self-service technologies: understanding customer satisfaction with technology-based service encounters', </w:t>
      </w:r>
      <w:r>
        <w:rPr>
          <w:rFonts w:ascii="Arial" w:cs="Arial" w:eastAsia="Arial" w:hAnsi="Arial"/>
          <w:i/>
          <w:iCs/>
          <w:sz w:val="22"/>
          <w:szCs w:val="22"/>
        </w:rPr>
        <w:t xml:space="preserve">Journal of Marketing</w:t>
      </w:r>
      <w:r>
        <w:rPr>
          <w:rFonts w:ascii="Arial" w:cs="Arial" w:eastAsia="Arial" w:hAnsi="Arial"/>
          <w:sz w:val="22"/>
          <w:szCs w:val="22"/>
        </w:rPr>
        <w:t xml:space="preserve">, 64(3), pp. 50-64.</w:t>
      </w:r>
    </w:p>
    <w:p>
      <w:pPr>
        <w:spacing w:after="120" w:line="276"/>
        <w:ind w:left="567" w:hanging="567"/>
        <w:jc w:val="left"/>
      </w:pPr>
      <w:r>
        <w:rPr>
          <w:rFonts w:ascii="Arial" w:cs="Arial" w:eastAsia="Arial" w:hAnsi="Arial"/>
          <w:sz w:val="22"/>
          <w:szCs w:val="22"/>
        </w:rPr>
        <w:t xml:space="preserve">Parasuraman, A., Zeithaml, V.A. and Berry, L.L. (1988) 'SERVQUAL: a multiple-item scale for measuring consumer perceptions of service quality', </w:t>
      </w:r>
      <w:r>
        <w:rPr>
          <w:rFonts w:ascii="Arial" w:cs="Arial" w:eastAsia="Arial" w:hAnsi="Arial"/>
          <w:i/>
          <w:iCs/>
          <w:sz w:val="22"/>
          <w:szCs w:val="22"/>
        </w:rPr>
        <w:t xml:space="preserve">Journal of Retailing</w:t>
      </w:r>
      <w:r>
        <w:rPr>
          <w:rFonts w:ascii="Arial" w:cs="Arial" w:eastAsia="Arial" w:hAnsi="Arial"/>
          <w:sz w:val="22"/>
          <w:szCs w:val="22"/>
        </w:rPr>
        <w:t xml:space="preserve">, 64(1), pp. 12-40.</w:t>
      </w:r>
    </w:p>
    <w:p>
      <w:pPr>
        <w:spacing w:after="120" w:line="276"/>
        <w:ind w:left="567" w:hanging="567"/>
        <w:jc w:val="left"/>
      </w:pPr>
      <w:r>
        <w:rPr>
          <w:rFonts w:ascii="Arial" w:cs="Arial" w:eastAsia="Arial" w:hAnsi="Arial"/>
          <w:sz w:val="22"/>
          <w:szCs w:val="22"/>
        </w:rPr>
        <w:t xml:space="preserve">Sasser, W.E. (1976) 'Match supply and demand in service industries', </w:t>
      </w:r>
      <w:r>
        <w:rPr>
          <w:rFonts w:ascii="Arial" w:cs="Arial" w:eastAsia="Arial" w:hAnsi="Arial"/>
          <w:i/>
          <w:iCs/>
          <w:sz w:val="22"/>
          <w:szCs w:val="22"/>
        </w:rPr>
        <w:t xml:space="preserve">Harvard Business Review</w:t>
      </w:r>
      <w:r>
        <w:rPr>
          <w:rFonts w:ascii="Arial" w:cs="Arial" w:eastAsia="Arial" w:hAnsi="Arial"/>
          <w:sz w:val="22"/>
          <w:szCs w:val="22"/>
        </w:rPr>
        <w:t xml:space="preserve">, 54(6), pp. 133-140.</w:t>
      </w:r>
    </w:p>
    <w:p>
      <w:pPr>
        <w:spacing w:after="120" w:line="276"/>
        <w:ind w:left="567" w:hanging="567"/>
        <w:jc w:val="left"/>
      </w:pPr>
      <w:r>
        <w:rPr>
          <w:rFonts w:ascii="Arial" w:cs="Arial" w:eastAsia="Arial" w:hAnsi="Arial"/>
          <w:sz w:val="22"/>
          <w:szCs w:val="22"/>
        </w:rPr>
        <w:t xml:space="preserve">Slack, N., Brandon-Jones, A. and Burgess, N. (2022) </w:t>
      </w:r>
      <w:r>
        <w:rPr>
          <w:rFonts w:ascii="Arial" w:cs="Arial" w:eastAsia="Arial" w:hAnsi="Arial"/>
          <w:i/>
          <w:iCs/>
          <w:sz w:val="22"/>
          <w:szCs w:val="22"/>
        </w:rPr>
        <w:t xml:space="preserve">Operations management</w:t>
      </w:r>
      <w:r>
        <w:rPr>
          <w:rFonts w:ascii="Arial" w:cs="Arial" w:eastAsia="Arial" w:hAnsi="Arial"/>
          <w:sz w:val="22"/>
          <w:szCs w:val="22"/>
        </w:rPr>
        <w:t xml:space="preserve">. 10th edn. Harlow: Pearson.</w:t>
      </w:r>
    </w:p>
    <w:p>
      <w:pPr>
        <w:spacing w:after="120" w:line="276"/>
        <w:ind w:left="567" w:hanging="567"/>
        <w:jc w:val="left"/>
      </w:pPr>
      <w:r>
        <w:rPr>
          <w:rFonts w:ascii="Arial" w:cs="Arial" w:eastAsia="Arial" w:hAnsi="Arial"/>
          <w:sz w:val="22"/>
          <w:szCs w:val="22"/>
        </w:rPr>
        <w:t xml:space="preserve">UK Government (2025) </w:t>
      </w:r>
      <w:r>
        <w:rPr>
          <w:rFonts w:ascii="Arial" w:cs="Arial" w:eastAsia="Arial" w:hAnsi="Arial"/>
          <w:i/>
          <w:iCs/>
          <w:sz w:val="22"/>
          <w:szCs w:val="22"/>
        </w:rPr>
        <w:t xml:space="preserve">National Minimum Wage and National Living Wage rates</w:t>
      </w:r>
      <w:r>
        <w:rPr>
          <w:rFonts w:ascii="Arial" w:cs="Arial" w:eastAsia="Arial" w:hAnsi="Arial"/>
          <w:sz w:val="22"/>
          <w:szCs w:val="22"/>
        </w:rPr>
        <w:t xml:space="preserve">. Available at: https://www.gov.uk/national-minimum-wage-rates (Accessed: [insert date]).</w:t>
      </w:r>
    </w:p>
    <w:p>
      <w:pPr>
        <w:spacing w:after="120" w:line="276"/>
        <w:ind w:left="567" w:hanging="567"/>
        <w:jc w:val="left"/>
      </w:pPr>
      <w:r>
        <w:rPr>
          <w:rFonts w:ascii="Arial" w:cs="Arial" w:eastAsia="Arial" w:hAnsi="Arial"/>
          <w:sz w:val="22"/>
          <w:szCs w:val="22"/>
        </w:rPr>
        <w:t xml:space="preserve">Zeithaml, V.A., Bitner, M.J. and Gremler, D.D. (2018) </w:t>
      </w:r>
      <w:r>
        <w:rPr>
          <w:rFonts w:ascii="Arial" w:cs="Arial" w:eastAsia="Arial" w:hAnsi="Arial"/>
          <w:i/>
          <w:iCs/>
          <w:sz w:val="22"/>
          <w:szCs w:val="22"/>
        </w:rPr>
        <w:t xml:space="preserve">Services marketing: integrating customer focus across the firm</w:t>
      </w:r>
      <w:r>
        <w:rPr>
          <w:rFonts w:ascii="Arial" w:cs="Arial" w:eastAsia="Arial" w:hAnsi="Arial"/>
          <w:sz w:val="22"/>
          <w:szCs w:val="22"/>
        </w:rPr>
        <w:t xml:space="preserve">. 7th edn. New York: McGraw-Hill.</w:t>
      </w:r>
    </w:p>
    <w:p>
      <w:r>
        <w:br w:type="page"/>
      </w:r>
    </w:p>
    <w:p>
      <w:pPr>
        <w:pStyle w:val="Heading1"/>
      </w:pPr>
      <w:r>
        <w:rPr>
          <w:rFonts w:ascii="Arial" w:cs="Arial" w:eastAsia="Arial" w:hAnsi="Arial"/>
        </w:rPr>
        <w:t xml:space="preserve">Appendix</w:t>
      </w:r>
    </w:p>
    <w:p>
      <w:pPr>
        <w:spacing w:after="120" w:line="276"/>
      </w:pPr>
      <w:r>
        <w:rPr>
          <w:rFonts w:ascii="Arial" w:cs="Arial" w:eastAsia="Arial" w:hAnsi="Arial"/>
          <w:sz w:val="22"/>
          <w:szCs w:val="22"/>
        </w:rPr>
        <w:t xml:space="preserve">[Insert AI prompts and AI-generated responses here if AI was used to review the draft or correct language errors.]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SRN: [insert SRN]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2026-10-08T14:56:32.740Z</dcterms:created>
  <dcterms:modified xsi:type="dcterms:W3CDTF">2026-10-08T14:56:32.740Z</dcterms:modified>
</cp:coreProperties>
</file>

<file path=docProps/custom.xml><?xml version="1.0" encoding="utf-8"?>
<Properties xmlns="http://schemas.openxmlformats.org/officeDocument/2006/custom-properties" xmlns:vt="http://schemas.openxmlformats.org/officeDocument/2006/docPropsVTypes"/>
</file>