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A: Reflection and Plan (submission text)</w:t>
      </w:r>
    </w:p>
    <w:p>
      <w:r>
        <w:rPr>
          <w:rFonts w:ascii="Arial" w:hAnsi="Arial"/>
          <w:sz w:val="24"/>
        </w:rPr>
        <w:t>SRN: [YOU SUPPLY: Student Reference Number only; no name]</w:t>
      </w:r>
    </w:p>
    <w:p>
      <w:r>
        <w:rPr>
          <w:rFonts w:ascii="Arial" w:hAnsi="Arial"/>
          <w:sz w:val="24"/>
        </w:rPr>
        <w:t>Module: Leadership in Practice, BSc Applied Management</w:t>
      </w:r>
    </w:p>
    <w:p>
      <w:r>
        <w:rPr>
          <w:rFonts w:ascii="Arial" w:hAnsi="Arial"/>
          <w:sz w:val="24"/>
        </w:rPr>
        <w:t>Note: submit Part A only, after rewriting in your own words and removing all [YOU SUPPLY] notes. Delete Part B. See the AI-use rule in Part B, section 0.</w:t>
      </w:r>
    </w:p>
    <w:p>
      <w:pPr>
        <w:pStyle w:val="Heading1"/>
      </w:pPr>
      <w:r>
        <w:t>Task 1: Reflective Learning</w:t>
      </w:r>
    </w:p>
    <w:p>
      <w:r>
        <w:rPr>
          <w:rFonts w:ascii="Arial" w:hAnsi="Arial"/>
          <w:sz w:val="24"/>
        </w:rPr>
        <w:t>Activity 1 placed social skills as my strongest emotional intelligence component and self-awareness as my weakest [YOU SUPPLY: your own Activity 1 notes]. In a group project I missed a teammate's concern [YOU SUPPLY: what it was and what it affected]. My thesis: I build rapport well but read my own effect on others poorly.</w:t>
      </w:r>
    </w:p>
    <w:p>
      <w:r>
        <w:rPr>
          <w:rFonts w:ascii="Arial" w:hAnsi="Arial"/>
          <w:sz w:val="24"/>
        </w:rPr>
        <w:t>In Goleman's (1998) terms, strong social skill without self-awareness means I influence people without checking how I come across. My default style resembled the affiliative one, which Goleman (2000) warns can avoid difficult conversations. It did not fit: the group needed challenge, not harmony, and my instinct is to smooth over disagreement instead of surfacing it. I also delegated tasks but kept the final say, which probably left teammates little room to speak. This framing has limits. Antonakis, Ashkanasy and Dasborough (2009) argue that emotional intelligence is poorly defined and measured, so my self-rating may depend on the model used.</w:t>
      </w:r>
    </w:p>
    <w:p>
      <w:r>
        <w:rPr>
          <w:rFonts w:ascii="Arial" w:hAnsi="Arial"/>
          <w:sz w:val="24"/>
        </w:rPr>
        <w:t>My strength is real: teammates relied on my competence [YOU SUPPLY: one piece of evidence]. The gap cost something. A teammate carried a problem alone, and trust built on ability more than benevolence (Mayer, Davis and Schoorman, 1995) gave them less reason to tell me.</w:t>
      </w:r>
    </w:p>
    <w:p>
      <w:r>
        <w:rPr>
          <w:rFonts w:ascii="Arial" w:hAnsi="Arial"/>
          <w:sz w:val="24"/>
        </w:rPr>
        <w:t>I once believed leadership was a natural trait. Activity 1 and the workbook changed that: self-awareness can be developed, and noticing others achieves little unless I act on it. Empathy, I now see, is information for better decisions, not simply being kind.</w:t>
      </w:r>
    </w:p>
    <w:p>
      <w:r>
        <w:rPr>
          <w:rFonts w:ascii="Arial" w:hAnsi="Arial"/>
          <w:sz w:val="24"/>
        </w:rPr>
        <w:t>My potential is credible but unproven, provided I seek the feedback I currently lack. During the next team project, [YOU SUPPLY: named peer coach] will observe two meetings and give written feedback on how I respond to concerns, reviewed after four weeks. Success means a teammate raising a concern with me unprompted. I will develop this into my AC4 plan.</w:t>
      </w:r>
    </w:p>
    <w:p>
      <w:pPr>
        <w:pStyle w:val="Heading1"/>
      </w:pPr>
      <w:r>
        <w:t>Task 2: Summative Plan</w:t>
      </w:r>
    </w:p>
    <w:p>
      <w:pPr>
        <w:pStyle w:val="Heading2"/>
      </w:pPr>
      <w:r>
        <w:t>Overview</w:t>
      </w:r>
    </w:p>
    <w:p>
      <w:r>
        <w:rPr>
          <w:rFonts w:ascii="Arial" w:hAnsi="Arial"/>
          <w:sz w:val="24"/>
        </w:rPr>
        <w:t>I will argue that leadership and management overlap more than the classic distinction allows, and test this through Satya Nadella (AC1) and Indra Nooyi (AC3), using transformational leadership and intersectionality.</w:t>
      </w:r>
    </w:p>
    <w:p>
      <w:pPr>
        <w:pStyle w:val="Heading2"/>
      </w:pPr>
      <w:r>
        <w:t>AC1: Understanding Leadership</w:t>
      </w:r>
    </w:p>
    <w:p>
      <w:r>
        <w:rPr>
          <w:rFonts w:ascii="Arial" w:hAnsi="Arial"/>
          <w:sz w:val="24"/>
        </w:rPr>
        <w:t>Zaleznik (1977) and Kotter (1990) separate leaders (vision, change) from managers (stability, complexity), which frames the debate. My working position is that leadership and management are distinct functions that one person often performs, so definitions must allow for overlap. Mintzberg (1973) complicates it: observed managers performed interpersonal and informational roles, so overlap is the norm. I will use Bass (1985) on transformational leadership because it connects directly to AC3. Alvesson and Spicer (2012) challenge taken-for-granted assumptions in leadership studies, a check against treating either distinction as settled. I chose this spine because the classic distinction frames the debate, Mintzberg tests it, and transformational theory supplies the lens for AC3.</w:t>
      </w:r>
    </w:p>
    <w:p>
      <w:r>
        <w:rPr>
          <w:rFonts w:ascii="Arial" w:hAnsi="Arial"/>
          <w:sz w:val="24"/>
        </w:rPr>
        <w:t>Nadella at Microsoft tests whether a transformational culture shift also depended on management systems. Choosing an example that may complicate the theory is deliberate. His own account (Nadella, 2017) is leader-authored, so I will triangulate with independent academic and business-press sources [YOU SUPPLY: two sources].</w:t>
      </w:r>
    </w:p>
    <w:p>
      <w:pPr>
        <w:pStyle w:val="Heading2"/>
      </w:pPr>
      <w:r>
        <w:t>AC3: Diverse Leader</w:t>
      </w:r>
    </w:p>
    <w:p>
      <w:r>
        <w:rPr>
          <w:rFonts w:ascii="Arial" w:hAnsi="Arial"/>
          <w:sz w:val="24"/>
        </w:rPr>
        <w:t>I chose Nooyi, former PepsiCo chief executive, against three criteria: documented leadership philosophy (Nooyi, 2021); an intersectional position (gender, ethnicity, migration); and a record containing both achievement and criticism, which permits evaluation, not admiration. Her memoir is self-authored, so I will read it as advocacy as well as evidence. I rejected Nadella here to avoid overlap, and because gender does not apply to him.</w:t>
      </w:r>
    </w:p>
    <w:p>
      <w:r>
        <w:rPr>
          <w:rFonts w:ascii="Arial" w:hAnsi="Arial"/>
          <w:sz w:val="24"/>
        </w:rPr>
        <w:t>Crenshaw's (1989) intersectionality, with Rosette et al. (2016) on combined race and gender effects, will show how overlapping identities shaped her context; Bass (1985) shows what she did. I will examine speeches, strategic decisions and stakeholder outcomes, treating decisions that contradict a transformational reading as counter-evidence. Limits: intersectionality is hard to apply to one case and invites over-attribution; evidence is retrospective and media-filtered; transformational theory is leader-centred. I will analyse decisions in context, not Nooyi as a category representative.</w:t>
      </w:r>
    </w:p>
    <w:p>
      <w:pPr>
        <w:pStyle w:val="Heading2"/>
      </w:pPr>
      <w:r>
        <w:t>Integration and risks</w:t>
      </w:r>
    </w:p>
    <w:p>
      <w:r>
        <w:rPr>
          <w:rFonts w:ascii="Arial" w:hAnsi="Arial"/>
          <w:sz w:val="24"/>
        </w:rPr>
        <w:t>Both parts test one claim: if leadership and management overlap, transformational success should rely on management systems, and identity should shape how leadership is recognised. The main risk is hero-narrative bias from self-authored sources; I will triangulate with independent analyses [YOU SUPPLY: two sources on Nooyi]. A second is identity reductionism, mitigated by focusing on decisions and outcomes. Evidence that Nooyi's identity changed no decisions, or that outcomes owed more to systems than to her, would lead me to qualify the lens.</w:t>
      </w:r>
    </w:p>
    <w:p>
      <w:r>
        <w:rPr>
          <w:rFonts w:ascii="Arial" w:hAnsi="Arial"/>
          <w:sz w:val="24"/>
        </w:rPr>
        <w:t>The sources disagree: Kotter separates leadership from management, whereas Mintzberg's empirical work finds leadership embedded in managerial work. Much of the evidence is dated, so I will weigh classic practitioner arguments against recent peer-reviewed critique.</w:t>
      </w:r>
    </w:p>
    <w:p>
      <w:pPr>
        <w:pStyle w:val="Heading1"/>
      </w:pPr>
      <w:r>
        <w:t>Reference List</w:t>
      </w:r>
    </w:p>
    <w:p>
      <w:r>
        <w:rPr>
          <w:rFonts w:ascii="Arial" w:hAnsi="Arial"/>
          <w:sz w:val="24"/>
        </w:rPr>
        <w:t xml:space="preserve">Alvesson, M. and Spicer, A. (2012) 'Critical leadership studies: the case for critical performativity', </w:t>
      </w:r>
      <w:r>
        <w:rPr>
          <w:rFonts w:ascii="Arial" w:hAnsi="Arial"/>
          <w:i/>
          <w:sz w:val="24"/>
        </w:rPr>
        <w:t>Human Relations</w:t>
      </w:r>
      <w:r>
        <w:rPr>
          <w:rFonts w:ascii="Arial" w:hAnsi="Arial"/>
          <w:sz w:val="24"/>
        </w:rPr>
        <w:t>, 65(3), pp. 367–390.</w:t>
      </w:r>
    </w:p>
    <w:p>
      <w:r>
        <w:rPr>
          <w:rFonts w:ascii="Arial" w:hAnsi="Arial"/>
          <w:sz w:val="24"/>
        </w:rPr>
        <w:t xml:space="preserve">Antonakis, J., Ashkanasy, N.M. and Dasborough, M.T. (2009) 'Does leadership need emotional intelligence?', </w:t>
      </w:r>
      <w:r>
        <w:rPr>
          <w:rFonts w:ascii="Arial" w:hAnsi="Arial"/>
          <w:i/>
          <w:sz w:val="24"/>
        </w:rPr>
        <w:t>The Leadership Quarterly</w:t>
      </w:r>
      <w:r>
        <w:rPr>
          <w:rFonts w:ascii="Arial" w:hAnsi="Arial"/>
          <w:sz w:val="24"/>
        </w:rPr>
        <w:t>, 20(2), pp. 247–261.</w:t>
      </w:r>
    </w:p>
    <w:p>
      <w:r>
        <w:rPr>
          <w:rFonts w:ascii="Arial" w:hAnsi="Arial"/>
          <w:sz w:val="24"/>
        </w:rPr>
        <w:t xml:space="preserve">Bass, B.M. (1985) </w:t>
      </w:r>
      <w:r>
        <w:rPr>
          <w:rFonts w:ascii="Arial" w:hAnsi="Arial"/>
          <w:i/>
          <w:sz w:val="24"/>
        </w:rPr>
        <w:t>Leadership and performance beyond expectations</w:t>
      </w:r>
      <w:r>
        <w:rPr>
          <w:rFonts w:ascii="Arial" w:hAnsi="Arial"/>
          <w:sz w:val="24"/>
        </w:rPr>
        <w:t>. New York: Free Press.</w:t>
      </w:r>
    </w:p>
    <w:p>
      <w:r>
        <w:rPr>
          <w:rFonts w:ascii="Arial" w:hAnsi="Arial"/>
          <w:sz w:val="24"/>
        </w:rPr>
        <w:t xml:space="preserve">Crenshaw, K. (1989) 'Demarginalizing the intersection of race and sex: a black feminist critique of antidiscrimination doctrine, feminist theory and antiracist politics', </w:t>
      </w:r>
      <w:r>
        <w:rPr>
          <w:rFonts w:ascii="Arial" w:hAnsi="Arial"/>
          <w:i/>
          <w:sz w:val="24"/>
        </w:rPr>
        <w:t>University of Chicago Legal Forum</w:t>
      </w:r>
      <w:r>
        <w:rPr>
          <w:rFonts w:ascii="Arial" w:hAnsi="Arial"/>
          <w:sz w:val="24"/>
        </w:rPr>
        <w:t>, 1989(1), pp. 139–167.</w:t>
      </w:r>
    </w:p>
    <w:p>
      <w:r>
        <w:rPr>
          <w:rFonts w:ascii="Arial" w:hAnsi="Arial"/>
          <w:sz w:val="24"/>
        </w:rPr>
        <w:t xml:space="preserve">Goleman, D. (1998) 'What makes a leader?', </w:t>
      </w:r>
      <w:r>
        <w:rPr>
          <w:rFonts w:ascii="Arial" w:hAnsi="Arial"/>
          <w:i/>
          <w:sz w:val="24"/>
        </w:rPr>
        <w:t>Harvard Business Review</w:t>
      </w:r>
      <w:r>
        <w:rPr>
          <w:rFonts w:ascii="Arial" w:hAnsi="Arial"/>
          <w:sz w:val="24"/>
        </w:rPr>
        <w:t>, 76(6), pp. 93–102.</w:t>
      </w:r>
    </w:p>
    <w:p>
      <w:r>
        <w:rPr>
          <w:rFonts w:ascii="Arial" w:hAnsi="Arial"/>
          <w:sz w:val="24"/>
        </w:rPr>
        <w:t xml:space="preserve">Goleman, D. (2000) 'Leadership that gets results', </w:t>
      </w:r>
      <w:r>
        <w:rPr>
          <w:rFonts w:ascii="Arial" w:hAnsi="Arial"/>
          <w:i/>
          <w:sz w:val="24"/>
        </w:rPr>
        <w:t>Harvard Business Review</w:t>
      </w:r>
      <w:r>
        <w:rPr>
          <w:rFonts w:ascii="Arial" w:hAnsi="Arial"/>
          <w:sz w:val="24"/>
        </w:rPr>
        <w:t>, 78(2), pp. 78–90.</w:t>
      </w:r>
    </w:p>
    <w:p>
      <w:r>
        <w:rPr>
          <w:rFonts w:ascii="Arial" w:hAnsi="Arial"/>
          <w:sz w:val="24"/>
        </w:rPr>
        <w:t xml:space="preserve">Kotter, J.P. (1990) 'What leaders really do', </w:t>
      </w:r>
      <w:r>
        <w:rPr>
          <w:rFonts w:ascii="Arial" w:hAnsi="Arial"/>
          <w:i/>
          <w:sz w:val="24"/>
        </w:rPr>
        <w:t>Harvard Business Review</w:t>
      </w:r>
      <w:r>
        <w:rPr>
          <w:rFonts w:ascii="Arial" w:hAnsi="Arial"/>
          <w:sz w:val="24"/>
        </w:rPr>
        <w:t>, 68(3), pp. 103–111.</w:t>
      </w:r>
    </w:p>
    <w:p>
      <w:r>
        <w:rPr>
          <w:rFonts w:ascii="Arial" w:hAnsi="Arial"/>
          <w:sz w:val="24"/>
        </w:rPr>
        <w:t xml:space="preserve">Mayer, R.C., Davis, J.H. and Schoorman, F.D. (1995) 'An integrative model of organizational trust', </w:t>
      </w:r>
      <w:r>
        <w:rPr>
          <w:rFonts w:ascii="Arial" w:hAnsi="Arial"/>
          <w:i/>
          <w:sz w:val="24"/>
        </w:rPr>
        <w:t>Academy of Management Review</w:t>
      </w:r>
      <w:r>
        <w:rPr>
          <w:rFonts w:ascii="Arial" w:hAnsi="Arial"/>
          <w:sz w:val="24"/>
        </w:rPr>
        <w:t>, 20(3), pp. 709–734.</w:t>
      </w:r>
    </w:p>
    <w:p>
      <w:r>
        <w:rPr>
          <w:rFonts w:ascii="Arial" w:hAnsi="Arial"/>
          <w:sz w:val="24"/>
        </w:rPr>
        <w:t xml:space="preserve">Mintzberg, H. (1973) </w:t>
      </w:r>
      <w:r>
        <w:rPr>
          <w:rFonts w:ascii="Arial" w:hAnsi="Arial"/>
          <w:i/>
          <w:sz w:val="24"/>
        </w:rPr>
        <w:t>The nature of managerial work</w:t>
      </w:r>
      <w:r>
        <w:rPr>
          <w:rFonts w:ascii="Arial" w:hAnsi="Arial"/>
          <w:sz w:val="24"/>
        </w:rPr>
        <w:t>. New York: Harper &amp; Row.</w:t>
      </w:r>
    </w:p>
    <w:p>
      <w:r>
        <w:rPr>
          <w:rFonts w:ascii="Arial" w:hAnsi="Arial"/>
          <w:sz w:val="24"/>
        </w:rPr>
        <w:t xml:space="preserve">Nadella, S. (2017) </w:t>
      </w:r>
      <w:r>
        <w:rPr>
          <w:rFonts w:ascii="Arial" w:hAnsi="Arial"/>
          <w:i/>
          <w:sz w:val="24"/>
        </w:rPr>
        <w:t>Hit refresh: the quest to rediscover Microsoft's soul and imagine a better future for everyone</w:t>
      </w:r>
      <w:r>
        <w:rPr>
          <w:rFonts w:ascii="Arial" w:hAnsi="Arial"/>
          <w:sz w:val="24"/>
        </w:rPr>
        <w:t>. New York: HarperBusiness.</w:t>
      </w:r>
    </w:p>
    <w:p>
      <w:r>
        <w:rPr>
          <w:rFonts w:ascii="Arial" w:hAnsi="Arial"/>
          <w:sz w:val="24"/>
        </w:rPr>
        <w:t xml:space="preserve">Nooyi, I. (2021) </w:t>
      </w:r>
      <w:r>
        <w:rPr>
          <w:rFonts w:ascii="Arial" w:hAnsi="Arial"/>
          <w:i/>
          <w:sz w:val="24"/>
        </w:rPr>
        <w:t>My life in full: work, family, and our future</w:t>
      </w:r>
      <w:r>
        <w:rPr>
          <w:rFonts w:ascii="Arial" w:hAnsi="Arial"/>
          <w:sz w:val="24"/>
        </w:rPr>
        <w:t>. New York: Portfolio.</w:t>
      </w:r>
    </w:p>
    <w:p>
      <w:r>
        <w:rPr>
          <w:rFonts w:ascii="Arial" w:hAnsi="Arial"/>
          <w:sz w:val="24"/>
        </w:rPr>
        <w:t xml:space="preserve">Rosette, A.S., Koval, C.Z., Ma, A. and Livingston, R. (2016) 'Race matters for women leaders: intersectional effects on agentic deficiencies and penalties', </w:t>
      </w:r>
      <w:r>
        <w:rPr>
          <w:rFonts w:ascii="Arial" w:hAnsi="Arial"/>
          <w:i/>
          <w:sz w:val="24"/>
        </w:rPr>
        <w:t>The Leadership Quarterly</w:t>
      </w:r>
      <w:r>
        <w:rPr>
          <w:rFonts w:ascii="Arial" w:hAnsi="Arial"/>
          <w:sz w:val="24"/>
        </w:rPr>
        <w:t>, 27(3), pp. 429–445.</w:t>
      </w:r>
    </w:p>
    <w:p>
      <w:r>
        <w:rPr>
          <w:rFonts w:ascii="Arial" w:hAnsi="Arial"/>
          <w:sz w:val="24"/>
        </w:rPr>
        <w:t xml:space="preserve">Zaleznik, A. (1977) 'Managers and leaders: are they different?', </w:t>
      </w:r>
      <w:r>
        <w:rPr>
          <w:rFonts w:ascii="Arial" w:hAnsi="Arial"/>
          <w:i/>
          <w:sz w:val="24"/>
        </w:rPr>
        <w:t>Harvard Business Review</w:t>
      </w:r>
      <w:r>
        <w:rPr>
          <w:rFonts w:ascii="Arial" w:hAnsi="Arial"/>
          <w:sz w:val="24"/>
        </w:rPr>
        <w:t>, 55(5), pp. 67–78.</w:t>
      </w:r>
    </w:p>
    <w:p>
      <w:r>
        <w:rPr>
          <w:rFonts w:ascii="Arial" w:hAnsi="Arial"/>
          <w:sz w:val="24"/>
        </w:rPr>
        <w:t>[YOU SUPPLY: two independent sources on Nadella and two on Nooyi, to be added in Harvard format. Total must stay within 12 to 16 entries.]</w:t>
      </w:r>
    </w:p>
    <w:p>
      <w:r>
        <w:br w:type="page"/>
      </w:r>
    </w:p>
    <w:p>
      <w:pPr>
        <w:pStyle w:val="Heading1"/>
      </w:pPr>
      <w:r>
        <w:t>PART B (not for submission): Report on how the blueprint was applied</w:t>
      </w:r>
    </w:p>
    <w:p>
      <w:pPr>
        <w:pStyle w:val="Heading2"/>
      </w:pPr>
      <w:r>
        <w:t>0. Read this first: the module's AI rule</w:t>
      </w:r>
    </w:p>
    <w:p>
      <w:r>
        <w:rPr>
          <w:rFonts w:ascii="Arial" w:hAnsi="Arial"/>
          <w:sz w:val="24"/>
        </w:rPr>
        <w:t>The blueprint states that AI may be used only to review a draft you wrote or to correct language errors, that any use must be declared, and that all prompts and responses must be attached in the appendices. It also says the reflection should be your own thinking and that generated sentences should not be copied into your submission.</w:t>
      </w:r>
    </w:p>
    <w:p>
      <w:r>
        <w:rPr>
          <w:rFonts w:ascii="Arial" w:hAnsi="Arial"/>
          <w:sz w:val="24"/>
        </w:rPr>
        <w:t>This draft was written by me, not reviewed by me. Using it as submitted would not fit that rule. Use it as a worked model only: write your own version from your own Activity 1 notes, and declare any AI use truthfully on the cover sheet. The Task 1 draft also contains facts that only you can supply, and I have not invented them.</w:t>
      </w:r>
    </w:p>
    <w:p>
      <w:pPr>
        <w:pStyle w:val="Heading2"/>
      </w:pPr>
      <w:r>
        <w:t>1. Result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4"/>
              </w:rPr>
              <w:t>Item</w:t>
            </w:r>
          </w:p>
        </w:tc>
        <w:tc>
          <w:tcPr>
            <w:tcW w:type="dxa" w:w="2880"/>
          </w:tcPr>
          <w:p>
            <w:r>
              <w:rPr>
                <w:rFonts w:ascii="Arial" w:hAnsi="Arial"/>
                <w:b/>
                <w:sz w:val="24"/>
              </w:rPr>
              <w:t>Limit</w:t>
            </w:r>
          </w:p>
        </w:tc>
        <w:tc>
          <w:tcPr>
            <w:tcW w:type="dxa" w:w="2880"/>
          </w:tcPr>
          <w:p>
            <w:r>
              <w:rPr>
                <w:rFonts w:ascii="Arial" w:hAnsi="Arial"/>
                <w:b/>
                <w:sz w:val="24"/>
              </w:rPr>
              <w:t>Delivered</w:t>
            </w:r>
          </w:p>
        </w:tc>
      </w:tr>
      <w:tr>
        <w:tc>
          <w:tcPr>
            <w:tcW w:type="dxa" w:w="2880"/>
          </w:tcPr>
          <w:p>
            <w:r>
              <w:rPr>
                <w:rFonts w:ascii="Arial" w:hAnsi="Arial"/>
                <w:sz w:val="24"/>
              </w:rPr>
              <w:t>Task 1</w:t>
            </w:r>
          </w:p>
        </w:tc>
        <w:tc>
          <w:tcPr>
            <w:tcW w:type="dxa" w:w="2880"/>
          </w:tcPr>
          <w:p>
            <w:r>
              <w:rPr>
                <w:rFonts w:ascii="Arial" w:hAnsi="Arial"/>
                <w:sz w:val="24"/>
              </w:rPr>
              <w:t>300 (target 295)</w:t>
            </w:r>
          </w:p>
        </w:tc>
        <w:tc>
          <w:tcPr>
            <w:tcW w:type="dxa" w:w="2880"/>
          </w:tcPr>
          <w:p>
            <w:r>
              <w:rPr>
                <w:rFonts w:ascii="Arial" w:hAnsi="Arial"/>
                <w:sz w:val="24"/>
              </w:rPr>
              <w:t>290 words, including placeholders and in-text citations</w:t>
            </w:r>
          </w:p>
        </w:tc>
      </w:tr>
      <w:tr>
        <w:tc>
          <w:tcPr>
            <w:tcW w:type="dxa" w:w="2880"/>
          </w:tcPr>
          <w:p>
            <w:r>
              <w:rPr>
                <w:rFonts w:ascii="Arial" w:hAnsi="Arial"/>
                <w:sz w:val="24"/>
              </w:rPr>
              <w:t>Task 2</w:t>
            </w:r>
          </w:p>
        </w:tc>
        <w:tc>
          <w:tcPr>
            <w:tcW w:type="dxa" w:w="2880"/>
          </w:tcPr>
          <w:p>
            <w:r>
              <w:rPr>
                <w:rFonts w:ascii="Arial" w:hAnsi="Arial"/>
                <w:sz w:val="24"/>
              </w:rPr>
              <w:t>500 (target 495)</w:t>
            </w:r>
          </w:p>
        </w:tc>
        <w:tc>
          <w:tcPr>
            <w:tcW w:type="dxa" w:w="2880"/>
          </w:tcPr>
          <w:p>
            <w:r>
              <w:rPr>
                <w:rFonts w:ascii="Arial" w:hAnsi="Arial"/>
                <w:sz w:val="24"/>
              </w:rPr>
              <w:t>429 words, including placeholders and in-text citations</w:t>
            </w:r>
          </w:p>
        </w:tc>
      </w:tr>
      <w:tr>
        <w:tc>
          <w:tcPr>
            <w:tcW w:type="dxa" w:w="2880"/>
          </w:tcPr>
          <w:p>
            <w:r>
              <w:rPr>
                <w:rFonts w:ascii="Arial" w:hAnsi="Arial"/>
                <w:sz w:val="24"/>
              </w:rPr>
              <w:t>Total counted</w:t>
            </w:r>
          </w:p>
        </w:tc>
        <w:tc>
          <w:tcPr>
            <w:tcW w:type="dxa" w:w="2880"/>
          </w:tcPr>
          <w:p>
            <w:r>
              <w:rPr>
                <w:rFonts w:ascii="Arial" w:hAnsi="Arial"/>
                <w:sz w:val="24"/>
              </w:rPr>
              <w:t>800</w:t>
            </w:r>
          </w:p>
        </w:tc>
        <w:tc>
          <w:tcPr>
            <w:tcW w:type="dxa" w:w="2880"/>
          </w:tcPr>
          <w:p>
            <w:r>
              <w:rPr>
                <w:rFonts w:ascii="Arial" w:hAnsi="Arial"/>
                <w:sz w:val="24"/>
              </w:rPr>
              <w:t>719, leaving room for the sources and facts you add (about 40 to 60 words)</w:t>
            </w:r>
          </w:p>
        </w:tc>
      </w:tr>
      <w:tr>
        <w:tc>
          <w:tcPr>
            <w:tcW w:type="dxa" w:w="2880"/>
          </w:tcPr>
          <w:p>
            <w:r>
              <w:rPr>
                <w:rFonts w:ascii="Arial" w:hAnsi="Arial"/>
                <w:sz w:val="24"/>
              </w:rPr>
              <w:t>Reference list</w:t>
            </w:r>
          </w:p>
        </w:tc>
        <w:tc>
          <w:tcPr>
            <w:tcW w:type="dxa" w:w="2880"/>
          </w:tcPr>
          <w:p>
            <w:r>
              <w:rPr>
                <w:rFonts w:ascii="Arial" w:hAnsi="Arial"/>
                <w:sz w:val="24"/>
              </w:rPr>
              <w:t>12 to 16 entries</w:t>
            </w:r>
          </w:p>
        </w:tc>
        <w:tc>
          <w:tcPr>
            <w:tcW w:type="dxa" w:w="2880"/>
          </w:tcPr>
          <w:p>
            <w:r>
              <w:rPr>
                <w:rFonts w:ascii="Arial" w:hAnsi="Arial"/>
                <w:sz w:val="24"/>
              </w:rPr>
              <w:t>13 entries cited, plus room for up to 3 independent sources</w:t>
            </w:r>
          </w:p>
        </w:tc>
      </w:tr>
      <w:tr>
        <w:tc>
          <w:tcPr>
            <w:tcW w:type="dxa" w:w="2880"/>
          </w:tcPr>
          <w:p>
            <w:r>
              <w:rPr>
                <w:rFonts w:ascii="Arial" w:hAnsi="Arial"/>
                <w:sz w:val="24"/>
              </w:rPr>
              <w:t>Name</w:t>
            </w:r>
          </w:p>
        </w:tc>
        <w:tc>
          <w:tcPr>
            <w:tcW w:type="dxa" w:w="2880"/>
          </w:tcPr>
          <w:p>
            <w:r>
              <w:rPr>
                <w:rFonts w:ascii="Arial" w:hAnsi="Arial"/>
                <w:sz w:val="24"/>
              </w:rPr>
              <w:t>SRN only</w:t>
            </w:r>
          </w:p>
        </w:tc>
        <w:tc>
          <w:tcPr>
            <w:tcW w:type="dxa" w:w="2880"/>
          </w:tcPr>
          <w:p>
            <w:r>
              <w:rPr>
                <w:rFonts w:ascii="Arial" w:hAnsi="Arial"/>
                <w:sz w:val="24"/>
              </w:rPr>
              <w:t>No name anywhere; SRN placeholder on the title block</w:t>
            </w:r>
          </w:p>
        </w:tc>
      </w:tr>
    </w:tbl>
    <w:p>
      <w:r>
        <w:rPr>
          <w:rFonts w:ascii="Arial" w:hAnsi="Arial"/>
          <w:sz w:val="24"/>
        </w:rPr>
        <w:t>Headings are excluded from these counts. The blueprint warns that some counters include them, so check in Word and Turnitin.</w:t>
      </w:r>
    </w:p>
    <w:p>
      <w:pPr>
        <w:pStyle w:val="Heading2"/>
      </w:pPr>
      <w:r>
        <w:t>2. How the blueprint was applied</w:t>
      </w:r>
    </w:p>
    <w:p>
      <w:pPr>
        <w:pStyle w:val="Heading3"/>
      </w:pPr>
      <w:r>
        <w:t>Task 1 (Reflective Learning, AC4)</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4"/>
              </w:rPr>
              <w:t>Blueprint move</w:t>
            </w:r>
          </w:p>
        </w:tc>
        <w:tc>
          <w:tcPr>
            <w:tcW w:type="dxa" w:w="4320"/>
          </w:tcPr>
          <w:p>
            <w:r>
              <w:rPr>
                <w:rFonts w:ascii="Arial" w:hAnsi="Arial"/>
                <w:b/>
                <w:sz w:val="24"/>
              </w:rPr>
              <w:t>How it was applied</w:t>
            </w:r>
          </w:p>
        </w:tc>
      </w:tr>
      <w:tr>
        <w:tc>
          <w:tcPr>
            <w:tcW w:type="dxa" w:w="4320"/>
          </w:tcPr>
          <w:p>
            <w:r>
              <w:rPr>
                <w:rFonts w:ascii="Arial" w:hAnsi="Arial"/>
                <w:sz w:val="24"/>
              </w:rPr>
              <w:t>Move 1: specific Week 4 anchor and a one-sentence thesis</w:t>
            </w:r>
          </w:p>
        </w:tc>
        <w:tc>
          <w:tcPr>
            <w:tcW w:type="dxa" w:w="4320"/>
          </w:tcPr>
          <w:p>
            <w:r>
              <w:rPr>
                <w:rFonts w:ascii="Arial" w:hAnsi="Arial"/>
                <w:sz w:val="24"/>
              </w:rPr>
              <w:t>Opens on the Activity 1 result and one group-project incident, with the thesis "I build rapport well but read my own effect on others poorly". No description of the activity.</w:t>
            </w:r>
          </w:p>
        </w:tc>
      </w:tr>
      <w:tr>
        <w:tc>
          <w:tcPr>
            <w:tcW w:type="dxa" w:w="4320"/>
          </w:tcPr>
          <w:p>
            <w:r>
              <w:rPr>
                <w:rFonts w:ascii="Arial" w:hAnsi="Arial"/>
                <w:sz w:val="24"/>
              </w:rPr>
              <w:t>Move 2: one framework mapped to one behaviour, with a cited critique</w:t>
            </w:r>
          </w:p>
        </w:tc>
        <w:tc>
          <w:tcPr>
            <w:tcW w:type="dxa" w:w="4320"/>
          </w:tcPr>
          <w:p>
            <w:r>
              <w:rPr>
                <w:rFonts w:ascii="Arial" w:hAnsi="Arial"/>
                <w:sz w:val="24"/>
              </w:rPr>
              <w:t>Goleman (1998) five components: strong social skill, weak self-awareness. Goleman (2000) affiliative style and its named risk. Critique: Antonakis, Ashkanasy and Dasborough (2009).</w:t>
            </w:r>
          </w:p>
        </w:tc>
      </w:tr>
      <w:tr>
        <w:tc>
          <w:tcPr>
            <w:tcW w:type="dxa" w:w="4320"/>
          </w:tcPr>
          <w:p>
            <w:r>
              <w:rPr>
                <w:rFonts w:ascii="Arial" w:hAnsi="Arial"/>
                <w:sz w:val="24"/>
              </w:rPr>
              <w:t>Move 3: one strength and one real gap with effect on others</w:t>
            </w:r>
          </w:p>
        </w:tc>
        <w:tc>
          <w:tcPr>
            <w:tcW w:type="dxa" w:w="4320"/>
          </w:tcPr>
          <w:p>
            <w:r>
              <w:rPr>
                <w:rFonts w:ascii="Arial" w:hAnsi="Arial"/>
                <w:sz w:val="24"/>
              </w:rPr>
              <w:t>The strength has a slot for evidence. The gap costs a named person something: a teammate carried a problem alone. Linked to Mayer, Davis and Schoorman (1995) trust: ability against benevolence.</w:t>
            </w:r>
          </w:p>
        </w:tc>
      </w:tr>
      <w:tr>
        <w:tc>
          <w:tcPr>
            <w:tcW w:type="dxa" w:w="4320"/>
          </w:tcPr>
          <w:p>
            <w:r>
              <w:rPr>
                <w:rFonts w:ascii="Arial" w:hAnsi="Arial"/>
                <w:sz w:val="24"/>
              </w:rPr>
              <w:t>The "uncomfortable insight"</w:t>
            </w:r>
          </w:p>
        </w:tc>
        <w:tc>
          <w:tcPr>
            <w:tcW w:type="dxa" w:w="4320"/>
          </w:tcPr>
          <w:p>
            <w:r>
              <w:rPr>
                <w:rFonts w:ascii="Arial" w:hAnsi="Arial"/>
                <w:sz w:val="24"/>
              </w:rPr>
              <w:t>Delegating but keeping the final say probably silenced a teammate. This is a strength-overreach, not a humble-brag.</w:t>
            </w:r>
          </w:p>
        </w:tc>
      </w:tr>
      <w:tr>
        <w:tc>
          <w:tcPr>
            <w:tcW w:type="dxa" w:w="4320"/>
          </w:tcPr>
          <w:p>
            <w:r>
              <w:rPr>
                <w:rFonts w:ascii="Arial" w:hAnsi="Arial"/>
                <w:sz w:val="24"/>
              </w:rPr>
              <w:t>Move 4: before, trigger, after</w:t>
            </w:r>
          </w:p>
        </w:tc>
        <w:tc>
          <w:tcPr>
            <w:tcW w:type="dxa" w:w="4320"/>
          </w:tcPr>
          <w:p>
            <w:r>
              <w:rPr>
                <w:rFonts w:ascii="Arial" w:hAnsi="Arial"/>
                <w:sz w:val="24"/>
              </w:rPr>
              <w:t>Before: leadership is a natural trait. Trigger: Activity 1 and the workbook. After: self-awareness is developable, and empathy is information for decisions.</w:t>
            </w:r>
          </w:p>
        </w:tc>
      </w:tr>
      <w:tr>
        <w:tc>
          <w:tcPr>
            <w:tcW w:type="dxa" w:w="4320"/>
          </w:tcPr>
          <w:p>
            <w:r>
              <w:rPr>
                <w:rFonts w:ascii="Arial" w:hAnsi="Arial"/>
                <w:sz w:val="24"/>
              </w:rPr>
              <w:t>Move 5: conditional verdict and a measurable action</w:t>
            </w:r>
          </w:p>
        </w:tc>
        <w:tc>
          <w:tcPr>
            <w:tcW w:type="dxa" w:w="4320"/>
          </w:tcPr>
          <w:p>
            <w:r>
              <w:rPr>
                <w:rFonts w:ascii="Arial" w:hAnsi="Arial"/>
                <w:sz w:val="24"/>
              </w:rPr>
              <w:t>"Credible but unproven, provided I seek feedback." Peer coach observes two meetings, written feedback, four-week review, and a success test (a teammate raises a concern unprompted). Closes with the link to AC4.</w:t>
            </w:r>
          </w:p>
        </w:tc>
      </w:tr>
      <w:tr>
        <w:tc>
          <w:tcPr>
            <w:tcW w:type="dxa" w:w="4320"/>
          </w:tcPr>
          <w:p>
            <w:r>
              <w:rPr>
                <w:rFonts w:ascii="Arial" w:hAnsi="Arial"/>
                <w:sz w:val="24"/>
              </w:rPr>
              <w:t>Personalised answers (6.7)</w:t>
            </w:r>
          </w:p>
        </w:tc>
        <w:tc>
          <w:tcPr>
            <w:tcW w:type="dxa" w:w="4320"/>
          </w:tcPr>
          <w:p>
            <w:r>
              <w:rPr>
                <w:rFonts w:ascii="Arial" w:hAnsi="Arial"/>
                <w:sz w:val="24"/>
              </w:rPr>
              <w:t>All your questionnaire answers were used: strongest and weakest component, affiliative default, trust through ability, delegating with final say, mentor or peer coaching.</w:t>
            </w:r>
          </w:p>
        </w:tc>
      </w:tr>
    </w:tbl>
    <w:p>
      <w:pPr>
        <w:pStyle w:val="Heading3"/>
      </w:pPr>
      <w:r>
        <w:t>Task 2 (Summative plan, AC1 and AC3)</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4"/>
              </w:rPr>
              <w:t>Blueprint move</w:t>
            </w:r>
          </w:p>
        </w:tc>
        <w:tc>
          <w:tcPr>
            <w:tcW w:type="dxa" w:w="4320"/>
          </w:tcPr>
          <w:p>
            <w:r>
              <w:rPr>
                <w:rFonts w:ascii="Arial" w:hAnsi="Arial"/>
                <w:b/>
                <w:sz w:val="24"/>
              </w:rPr>
              <w:t>How it was applied</w:t>
            </w:r>
          </w:p>
        </w:tc>
      </w:tr>
      <w:tr>
        <w:tc>
          <w:tcPr>
            <w:tcW w:type="dxa" w:w="4320"/>
          </w:tcPr>
          <w:p>
            <w:r>
              <w:rPr>
                <w:rFonts w:ascii="Arial" w:hAnsi="Arial"/>
                <w:sz w:val="24"/>
              </w:rPr>
              <w:t>Orientation: one thesis statement</w:t>
            </w:r>
          </w:p>
        </w:tc>
        <w:tc>
          <w:tcPr>
            <w:tcW w:type="dxa" w:w="4320"/>
          </w:tcPr>
          <w:p>
            <w:r>
              <w:rPr>
                <w:rFonts w:ascii="Arial" w:hAnsi="Arial"/>
                <w:sz w:val="24"/>
              </w:rPr>
              <w:t>One sentence stating the argument (overlap of leadership and management) and the test (Nadella for AC1, Nooyi for AC3).</w:t>
            </w:r>
          </w:p>
        </w:tc>
      </w:tr>
      <w:tr>
        <w:tc>
          <w:tcPr>
            <w:tcW w:type="dxa" w:w="4320"/>
          </w:tcPr>
          <w:p>
            <w:r>
              <w:rPr>
                <w:rFonts w:ascii="Arial" w:hAnsi="Arial"/>
                <w:sz w:val="24"/>
              </w:rPr>
              <w:t>AC1 Move 1: contested leadership/management split</w:t>
            </w:r>
          </w:p>
        </w:tc>
        <w:tc>
          <w:tcPr>
            <w:tcW w:type="dxa" w:w="4320"/>
          </w:tcPr>
          <w:p>
            <w:r>
              <w:rPr>
                <w:rFonts w:ascii="Arial" w:hAnsi="Arial"/>
                <w:sz w:val="24"/>
              </w:rPr>
              <w:t>Zaleznik and Kotter, challenged by Mintzberg and Alvesson and Spicer. Includes a working position and why this combination was chosen.</w:t>
            </w:r>
          </w:p>
        </w:tc>
      </w:tr>
      <w:tr>
        <w:tc>
          <w:tcPr>
            <w:tcW w:type="dxa" w:w="4320"/>
          </w:tcPr>
          <w:p>
            <w:r>
              <w:rPr>
                <w:rFonts w:ascii="Arial" w:hAnsi="Arial"/>
                <w:sz w:val="24"/>
              </w:rPr>
              <w:t>AC1 Move 2: example that tests a claim, sourced independently</w:t>
            </w:r>
          </w:p>
        </w:tc>
        <w:tc>
          <w:tcPr>
            <w:tcW w:type="dxa" w:w="4320"/>
          </w:tcPr>
          <w:p>
            <w:r>
              <w:rPr>
                <w:rFonts w:ascii="Arial" w:hAnsi="Arial"/>
                <w:sz w:val="24"/>
              </w:rPr>
              <w:t>Nadella tests whether a transformational shift needed management systems. His own book is flagged as leader-authored, with a slot for two independent sources.</w:t>
            </w:r>
          </w:p>
        </w:tc>
      </w:tr>
      <w:tr>
        <w:tc>
          <w:tcPr>
            <w:tcW w:type="dxa" w:w="4320"/>
          </w:tcPr>
          <w:p>
            <w:r>
              <w:rPr>
                <w:rFonts w:ascii="Arial" w:hAnsi="Arial"/>
                <w:sz w:val="24"/>
              </w:rPr>
              <w:t>AC3 Move 1: criterion-based leader choice, alternative rejected</w:t>
            </w:r>
          </w:p>
        </w:tc>
        <w:tc>
          <w:tcPr>
            <w:tcW w:type="dxa" w:w="4320"/>
          </w:tcPr>
          <w:p>
            <w:r>
              <w:rPr>
                <w:rFonts w:ascii="Arial" w:hAnsi="Arial"/>
                <w:sz w:val="24"/>
              </w:rPr>
              <w:t>Nooyi, chosen by three criteria. Nadella explicitly rejected for AC3.</w:t>
            </w:r>
          </w:p>
        </w:tc>
      </w:tr>
      <w:tr>
        <w:tc>
          <w:tcPr>
            <w:tcW w:type="dxa" w:w="4320"/>
          </w:tcPr>
          <w:p>
            <w:r>
              <w:rPr>
                <w:rFonts w:ascii="Arial" w:hAnsi="Arial"/>
                <w:sz w:val="24"/>
              </w:rPr>
              <w:t>AC3 Move 2: lens, operationalised, with limits</w:t>
            </w:r>
          </w:p>
        </w:tc>
        <w:tc>
          <w:tcPr>
            <w:tcW w:type="dxa" w:w="4320"/>
          </w:tcPr>
          <w:p>
            <w:r>
              <w:rPr>
                <w:rFonts w:ascii="Arial" w:hAnsi="Arial"/>
                <w:sz w:val="24"/>
              </w:rPr>
              <w:t>Crenshaw (1989) and Rosette et al. (2016), with Bass (1985). Names the evidence to be examined, counter-evidence, three limits, and the identity-reductionism safeguard.</w:t>
            </w:r>
          </w:p>
        </w:tc>
      </w:tr>
      <w:tr>
        <w:tc>
          <w:tcPr>
            <w:tcW w:type="dxa" w:w="4320"/>
          </w:tcPr>
          <w:p>
            <w:r>
              <w:rPr>
                <w:rFonts w:ascii="Arial" w:hAnsi="Arial"/>
                <w:sz w:val="24"/>
              </w:rPr>
              <w:t>Integration and risks</w:t>
            </w:r>
          </w:p>
        </w:tc>
        <w:tc>
          <w:tcPr>
            <w:tcW w:type="dxa" w:w="4320"/>
          </w:tcPr>
          <w:p>
            <w:r>
              <w:rPr>
                <w:rFonts w:ascii="Arial" w:hAnsi="Arial"/>
                <w:sz w:val="24"/>
              </w:rPr>
              <w:t>One shared claim across AC1 and AC3, hero-narrative bias with a mitigation, and what would change my mind.</w:t>
            </w:r>
          </w:p>
        </w:tc>
      </w:tr>
      <w:tr>
        <w:tc>
          <w:tcPr>
            <w:tcW w:type="dxa" w:w="4320"/>
          </w:tcPr>
          <w:p>
            <w:r>
              <w:rPr>
                <w:rFonts w:ascii="Arial" w:hAnsi="Arial"/>
                <w:sz w:val="24"/>
              </w:rPr>
              <w:t>Literature engagement</w:t>
            </w:r>
          </w:p>
        </w:tc>
        <w:tc>
          <w:tcPr>
            <w:tcW w:type="dxa" w:w="4320"/>
          </w:tcPr>
          <w:p>
            <w:r>
              <w:rPr>
                <w:rFonts w:ascii="Arial" w:hAnsi="Arial"/>
                <w:sz w:val="24"/>
              </w:rPr>
              <w:t>Names the Kotter and Mintzberg disagreement and the age of the evidence.</w:t>
            </w:r>
          </w:p>
        </w:tc>
      </w:tr>
      <w:tr>
        <w:tc>
          <w:tcPr>
            <w:tcW w:type="dxa" w:w="4320"/>
          </w:tcPr>
          <w:p>
            <w:r>
              <w:rPr>
                <w:rFonts w:ascii="Arial" w:hAnsi="Arial"/>
                <w:sz w:val="24"/>
              </w:rPr>
              <w:t>Compliance</w:t>
            </w:r>
          </w:p>
        </w:tc>
        <w:tc>
          <w:tcPr>
            <w:tcW w:type="dxa" w:w="4320"/>
          </w:tcPr>
          <w:p>
            <w:r>
              <w:rPr>
                <w:rFonts w:ascii="Arial" w:hAnsi="Arial"/>
                <w:sz w:val="24"/>
              </w:rPr>
              <w:t>SRN only, no name, neutral title, plain headings.</w:t>
            </w:r>
          </w:p>
        </w:tc>
      </w:tr>
    </w:tbl>
    <w:p>
      <w:pPr>
        <w:pStyle w:val="Heading2"/>
      </w:pPr>
      <w:r>
        <w:t>3. Improvements beyond the blueprint</w:t>
      </w:r>
    </w:p>
    <w:p>
      <w:pPr>
        <w:pStyle w:val="ListNumber"/>
      </w:pPr>
      <w:r>
        <w:rPr>
          <w:rFonts w:ascii="Arial" w:hAnsi="Arial"/>
          <w:b/>
          <w:sz w:val="24"/>
        </w:rPr>
        <w:t>Reference count conflict resolved.</w:t>
      </w:r>
      <w:r>
        <w:rPr>
          <w:rFonts w:ascii="Arial" w:hAnsi="Arial"/>
          <w:sz w:val="24"/>
        </w:rPr>
        <w:t xml:space="preserve"> The blueprint asks for 12 to 16 entries, but also asks for at least two independent sources per leader on top of its candidate pool, which does not fit. I cut the list to the 13 sources actually cited and left room for up to 3 independent sources.</w:t>
      </w:r>
    </w:p>
    <w:p>
      <w:pPr>
        <w:pStyle w:val="ListNumber"/>
      </w:pPr>
      <w:r>
        <w:rPr>
          <w:rFonts w:ascii="Arial" w:hAnsi="Arial"/>
          <w:b/>
          <w:sz w:val="24"/>
        </w:rPr>
        <w:t>Sources cut to fit the cap.</w:t>
      </w:r>
      <w:r>
        <w:rPr>
          <w:rFonts w:ascii="Arial" w:hAnsi="Arial"/>
          <w:sz w:val="24"/>
        </w:rPr>
        <w:t xml:space="preserve"> I dropped Burns (1978), Uhl-Bien (2006), Spreitzer (1995), Dweck (2006) and Rolfe et al. (2001). Each was either optional or would have needed citation words and a list entry. Task 1 therefore does not name a reflective frame. Add Rolfe et al. (2001) if you want to name "What? So what? Now what?" in a clause.</w:t>
      </w:r>
    </w:p>
    <w:p>
      <w:pPr>
        <w:pStyle w:val="ListNumber"/>
      </w:pPr>
      <w:r>
        <w:rPr>
          <w:rFonts w:ascii="Arial" w:hAnsi="Arial"/>
          <w:b/>
          <w:sz w:val="24"/>
        </w:rPr>
        <w:t>Empathy-type conflict resolved.</w:t>
      </w:r>
      <w:r>
        <w:rPr>
          <w:rFonts w:ascii="Arial" w:hAnsi="Arial"/>
          <w:sz w:val="24"/>
        </w:rPr>
        <w:t xml:space="preserve"> You said you missed a concern but chose compassionate empathy. I wrote it as the gap of not noticing it, which fits your weak self-awareness. If you did notice and did not act, replace the sentence about not noticing with a compassionate-empathy gap (understanding without acting), which fits the affiliative risk better.</w:t>
      </w:r>
    </w:p>
    <w:p>
      <w:pPr>
        <w:pStyle w:val="ListNumber"/>
      </w:pPr>
      <w:r>
        <w:rPr>
          <w:rFonts w:ascii="Arial" w:hAnsi="Arial"/>
          <w:b/>
          <w:sz w:val="24"/>
        </w:rPr>
        <w:t>Weak evidence handled.</w:t>
      </w:r>
      <w:r>
        <w:rPr>
          <w:rFonts w:ascii="Arial" w:hAnsi="Arial"/>
          <w:sz w:val="24"/>
        </w:rPr>
        <w:t xml:space="preserve"> "My own later realisation" is the weakest evidence type, so Task 1 anchors on Activity 1 and leaves slots for the specific incident and a corroborating signal.</w:t>
      </w:r>
    </w:p>
    <w:p>
      <w:pPr>
        <w:pStyle w:val="ListNumber"/>
      </w:pPr>
      <w:r>
        <w:rPr>
          <w:rFonts w:ascii="Arial" w:hAnsi="Arial"/>
          <w:b/>
          <w:sz w:val="24"/>
        </w:rPr>
        <w:t>Weak workbook sources avoided.</w:t>
      </w:r>
      <w:r>
        <w:rPr>
          <w:rFonts w:ascii="Arial" w:hAnsi="Arial"/>
          <w:sz w:val="24"/>
        </w:rPr>
        <w:t xml:space="preserve"> None of Sarangi (2025), Minh (2026), George Business Review or Stimpson (2025) is cited.</w:t>
      </w:r>
    </w:p>
    <w:p>
      <w:pPr>
        <w:pStyle w:val="ListNumber"/>
      </w:pPr>
      <w:r>
        <w:rPr>
          <w:rFonts w:ascii="Arial" w:hAnsi="Arial"/>
          <w:b/>
          <w:sz w:val="24"/>
        </w:rPr>
        <w:t>Unverified facts avoided.</w:t>
      </w:r>
      <w:r>
        <w:rPr>
          <w:rFonts w:ascii="Arial" w:hAnsi="Arial"/>
          <w:sz w:val="24"/>
        </w:rPr>
        <w:t xml:space="preserve"> Nothing about Nadella or Nooyi states a date, figure or event. Biographical claims are limited to widely known roles (PepsiCo CEO) and flagged for checking.</w:t>
      </w:r>
    </w:p>
    <w:p>
      <w:pPr>
        <w:pStyle w:val="ListNumber"/>
      </w:pPr>
      <w:r>
        <w:rPr>
          <w:rFonts w:ascii="Arial" w:hAnsi="Arial"/>
          <w:b/>
          <w:sz w:val="24"/>
        </w:rPr>
        <w:t>Cut order followed.</w:t>
      </w:r>
      <w:r>
        <w:rPr>
          <w:rFonts w:ascii="Arial" w:hAnsi="Arial"/>
          <w:sz w:val="24"/>
        </w:rPr>
        <w:t xml:space="preserve"> No definition of emotional intelligence, no company background, and no optional role congruity clause.</w:t>
      </w:r>
    </w:p>
    <w:p>
      <w:pPr>
        <w:pStyle w:val="ListNumber"/>
      </w:pPr>
      <w:r>
        <w:rPr>
          <w:rFonts w:ascii="Arial" w:hAnsi="Arial"/>
          <w:b/>
          <w:sz w:val="24"/>
        </w:rPr>
        <w:t>Critique built into every theory:</w:t>
      </w:r>
      <w:r>
        <w:rPr>
          <w:rFonts w:ascii="Arial" w:hAnsi="Arial"/>
          <w:sz w:val="24"/>
        </w:rPr>
        <w:t xml:space="preserve"> Goleman (Antonakis), the classic distinction (Mintzberg, Alvesson and Spicer), the lens (three limits).</w:t>
      </w:r>
    </w:p>
    <w:p>
      <w:pPr>
        <w:pStyle w:val="Heading2"/>
      </w:pPr>
      <w:r>
        <w:t>4. What you must do before submitting</w:t>
      </w:r>
    </w:p>
    <w:p>
      <w:r>
        <w:rPr>
          <w:rFonts w:ascii="Arial" w:hAnsi="Arial"/>
          <w:b/>
          <w:sz w:val="24"/>
        </w:rPr>
        <w:t>A. Fill the [YOU SUPPLY] slots.</w:t>
      </w:r>
      <w:r>
        <w:rPr>
          <w:rFonts w:ascii="Arial" w:hAnsi="Arial"/>
          <w:sz w:val="24"/>
        </w:rPr>
        <w:t xml:space="preserve"> Your Activity 1 notes, the incident and what it affected, one piece of evidence of your strength, your named peer coach, two independent sources each for Nadella and Nooyi, and the SRN. Say that you completed Activity 1 independently if you missed the session.</w:t>
      </w:r>
    </w:p>
    <w:p>
      <w:r>
        <w:rPr>
          <w:rFonts w:ascii="Arial" w:hAnsi="Arial"/>
          <w:b/>
          <w:sz w:val="24"/>
        </w:rPr>
        <w:t>B. Verify every source</w:t>
      </w:r>
      <w:r>
        <w:rPr>
          <w:rFonts w:ascii="Arial" w:hAnsi="Arial"/>
          <w:sz w:val="24"/>
        </w:rPr>
        <w:t xml:space="preserve"> (the blueprint flags all of them as from memory): authors, years, volumes, pages and the claims I attribute to them. Priorities: Antonakis et al. (2009), Rosette et al. (2016), Crenshaw (1989), Mintzberg (1973) and Mayer, Davis and Schoorman (1995). Confirm the edition and publisher of Nooyi (2021) and Nadella (2017). The reference list must follow your university's Harvard guide.</w:t>
      </w:r>
    </w:p>
    <w:p>
      <w:r>
        <w:rPr>
          <w:rFonts w:ascii="Arial" w:hAnsi="Arial"/>
          <w:b/>
          <w:sz w:val="24"/>
        </w:rPr>
        <w:t>C. Check word count</w:t>
      </w:r>
      <w:r>
        <w:rPr>
          <w:rFonts w:ascii="Arial" w:hAnsi="Arial"/>
          <w:sz w:val="24"/>
        </w:rPr>
        <w:t xml:space="preserve"> in Word and Turnitin after adding your facts. You have about 40 to 60 spare words.</w:t>
      </w:r>
    </w:p>
    <w:p>
      <w:r>
        <w:rPr>
          <w:rFonts w:ascii="Arial" w:hAnsi="Arial"/>
          <w:b/>
          <w:sz w:val="24"/>
        </w:rPr>
        <w:t>D. Cover sheet and compliance.</w:t>
      </w:r>
      <w:r>
        <w:rPr>
          <w:rFonts w:ascii="Arial" w:hAnsi="Arial"/>
          <w:sz w:val="24"/>
        </w:rPr>
        <w:t xml:space="preserve"> Complete the cover sheet (SRN only, AI declaration if relevant), put it before the title page, and submit through Turnitin at least a day early.</w:t>
      </w:r>
    </w:p>
    <w:p>
      <w:r>
        <w:rPr>
          <w:rFonts w:ascii="Arial" w:hAnsi="Arial"/>
          <w:b/>
          <w:sz w:val="24"/>
        </w:rPr>
        <w:t>E. Prepare for the viva</w:t>
      </w:r>
      <w:r>
        <w:rPr>
          <w:rFonts w:ascii="Arial" w:hAnsi="Arial"/>
          <w:sz w:val="24"/>
        </w:rPr>
        <w:t xml:space="preserve"> (section 16 of the blueprint): you may be asked about any source cited. Cite only what you have read.</w:t>
      </w:r>
    </w:p>
    <w:p>
      <w:r>
        <w:rPr>
          <w:rFonts w:ascii="Arial" w:hAnsi="Arial"/>
          <w:b/>
          <w:sz w:val="24"/>
        </w:rPr>
        <w:t>F. Still missing from the blueprint:</w:t>
      </w:r>
      <w:r>
        <w:rPr>
          <w:rFonts w:ascii="Arial" w:hAnsi="Arial"/>
          <w:sz w:val="24"/>
        </w:rPr>
        <w:t xml:space="preserve"> the LO1 to LO5 wording and the grade bands. Send them if you want a mapping.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Arial" w:hAnsi="Arial"/>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Arial" w:hAnsi="Arial"/>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