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How well do those decisions work, judged by visit evidence and documents?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Primary data came from a hosted visit to the hotel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Secondary data comprised the Historic England list entry, Meliá press material, trade press, ranking coverage from Brand Finance and S&amp;P Global, and a booking-site price check. Following Denzin (1978) and Bryman and Bell (2015), each claim is checked against a second source type where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£237 to £310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Smith, Bolton and Wagner (1999) show that how a failure is put right shapes later satisfaction, yet McCollough, Berry and Yadav (2000) caution that recovery cannot substitute for reliability. No service failure was observed on the visit, so the lens is applied as a preventive protocol, not as a judgement of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Finance,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most important row is the premium promise against the dull lift door and dusty grille (Figs. 1 and 6), rated amber. These are small things, and at a rate near £300 they are costly, because Zeithaml (1988) implies the guest paying more expects more. Using Kano’s logic, they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All costs and timings are the author’s estimates. Each recommendation is tied to evidence and a lens, and Appendix 5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Write an outage plan with a backup service area, a scripted apology, a standard make-good such as a drink at ’35 Bar, and a same-day manager follow-up. No breakfast failure was seen on the visit, so this is preventive: a hotel that sells breakfast as a strength (Fig. 2) needs a plan for the day it cannot serve it.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The priority order, by impact against effort, is R2 and R1 first as the cheapest and most visible, R4 next, and R3 last because it needs the most money and testing. R1 to R3 address must-be reliability and expectation, which the photographs suggest are the main weaknesses, and they draw on different teams, so they can run in parallel. Judge success after one quarter against the stated indicators, and redesign any item that shows no movement before spending more. A 90-day timeline is in Appendix 5.</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with no guest-review or survey data. The hotel should first fix its must-be basics and prepare a breakfast continuity plan, because they are cheap, fast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w:t>
      </w:r>
    </w:p>
    <w:p>
      <w:pPr>
        <w:pStyle w:val="BodyText"/>
      </w:pPr>
      <w:r>
        <w:t>Booking.com (2026) Availability: Meliá White House, Deluxe Double Room, 8–9 November 2026 [screenshot of booking page, captured 8 October 2026]. Available at: https://www.booking.com/hotel/gb/meliawhitehousehotel.en-gb.html?checkin=2026-11-08&amp;checkout=2026-11-09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 xml:space="preserve">’</w:t>
      </w:r>
      <w:r>
        <w:t xml:space="preserve"> </w:t>
      </w:r>
      <w:r>
        <w:t>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w:t>
      </w:r>
    </w:p>
    <w:p>
      <w:pPr>
        <w:pStyle w:val="BodyText"/>
      </w:pPr>
      <w:r>
        <w:t>Google Finance (2026) GBP to NPR exchange rate, 8 October 2026, 01:00 UTC. Available at: https://www.google.com/finance/quote/GBP-NPR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[press release]. Available at: https://www.hospitalitynet.org/announcement/41009454.html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w:t>
      </w:r>
    </w:p>
    <w:bookmarkEnd w:id="27"/>
    <w:bookmarkStart w:id="61" w:name="appendices"/>
    <w:p>
      <w:pPr>
        <w:pStyle w:val="Heading1"/>
      </w:pPr>
      <w:r>
        <w:t xml:space="preserve">Appendices</w:t>
      </w:r>
    </w:p>
    <w:bookmarkStart w:id="55" w:name="appendix-1-photographs-figs.-1-9"/>
    <w:p>
      <w:pPr>
        <w:pStyle w:val="Heading2"/>
      </w:pPr>
      <w:r>
        <w:t>Appendix 1: Photographs (Figs. 1-10)</w:t>
      </w:r>
    </w:p>
    <w:p>
      <w:pPr>
        <w:pStyle w:val="FirstParagraph"/>
      </w:pPr>
      <w:r>
        <w:t>All photographs were taken by the author on the hosted tour.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