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pPr>
      <w:r>
        <w:rPr>
          <w:b/>
          <w:bCs/>
          <w:color w:val="0F766E"/>
          <w:spacing w:val="40"/>
          <w:sz w:val="20"/>
          <w:szCs w:val="20"/>
        </w:rPr>
        <w:t xml:space="preserve">CONSULTANCY REPORT BLUEPRINT  |  VERSION 2</w:t>
      </w:r>
    </w:p>
    <w:p>
      <w:pPr>
        <w:pBdr>
          <w:bottom w:val="single" w:color="0F766E" w:sz="18" w:space="8"/>
        </w:pBdr>
        <w:spacing w:after="160"/>
      </w:pPr>
      <w:r>
        <w:rPr>
          <w:rFonts w:ascii="Georgia" w:cs="Georgia" w:eastAsia="Georgia" w:hAnsi="Georgia"/>
          <w:b/>
          <w:bCs/>
          <w:color w:val="1F2A44"/>
          <w:sz w:val="72"/>
          <w:szCs w:val="72"/>
        </w:rPr>
        <w:t xml:space="preserve">Promise and Proof</w:t>
      </w:r>
    </w:p>
    <w:p>
      <w:pPr>
        <w:spacing w:after="280"/>
      </w:pPr>
      <w:r>
        <w:rPr>
          <w:rFonts w:ascii="Georgia" w:cs="Georgia" w:eastAsia="Georgia" w:hAnsi="Georgia"/>
          <w:color w:val="1F2A44"/>
          <w:sz w:val="30"/>
          <w:szCs w:val="30"/>
        </w:rPr>
        <w:t xml:space="preserve">A consultancy review of guest experience and food &amp; beverage at Meliá White House, London</w:t>
      </w:r>
    </w:p>
    <w:p>
      <w:pPr>
        <w:spacing w:after="90" w:before="0" w:line="276"/>
      </w:pPr>
      <w:r>
        <w:rPr>
          <w:sz w:val="22"/>
          <w:szCs w:val="22"/>
        </w:rPr>
        <w:t xml:space="preserve">Planning pack for a 3,000-word report. Same brief and the same marking structure as before, but organised around a storyline, one card per chapter, and a fresh set of theories and references.</w:t>
      </w:r>
    </w:p>
    <w:p>
      <w:pPr>
        <w:spacing w:after="20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7706"/>
      </w:tblGrid>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50" w:line="252"/>
            </w:pPr>
            <w:r>
              <w:rPr>
                <w:b/>
                <w:bCs/>
                <w:sz w:val="19"/>
                <w:szCs w:val="19"/>
              </w:rPr>
              <w:t xml:space="preserve">Length</w:t>
            </w:r>
          </w:p>
        </w:tc>
        <w:tc>
          <w:tcPr>
            <w:tcW w:type="dxa" w:w="77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3,000 words, excluding title page, contents, figures list, references and appendices</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50" w:line="252"/>
            </w:pPr>
            <w:r>
              <w:rPr>
                <w:b/>
                <w:bCs/>
                <w:sz w:val="19"/>
                <w:szCs w:val="19"/>
              </w:rPr>
              <w:t xml:space="preserve">Visit evidence</w:t>
            </w:r>
          </w:p>
        </w:tc>
        <w:tc>
          <w:tcPr>
            <w:tcW w:type="dxa" w:w="77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Hosted tour and staff session, 9 September 2025 (check this date against your notes)</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50" w:line="252"/>
            </w:pPr>
            <w:r>
              <w:rPr>
                <w:b/>
                <w:bCs/>
                <w:sz w:val="19"/>
                <w:szCs w:val="19"/>
              </w:rPr>
              <w:t xml:space="preserve">Report date</w:t>
            </w:r>
          </w:p>
        </w:tc>
        <w:tc>
          <w:tcPr>
            <w:tcW w:type="dxa" w:w="77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October 2026 (web sources accessed 8 October 2026)</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50" w:line="252"/>
            </w:pPr>
            <w:r>
              <w:rPr>
                <w:b/>
                <w:bCs/>
                <w:sz w:val="19"/>
                <w:szCs w:val="19"/>
              </w:rPr>
              <w:t xml:space="preserve">Status</w:t>
            </w:r>
          </w:p>
        </w:tc>
        <w:tc>
          <w:tcPr>
            <w:tcW w:type="dxa" w:w="77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Draft plan. Every reference and fact marked "verify" needs checking before submission</w:t>
            </w:r>
          </w:p>
        </w:tc>
      </w:tr>
    </w:tbl>
    <w:p>
      <w:pPr>
        <w:spacing w:after="24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E6F4F1" w:sz="2"/>
              <w:left w:val="single" w:color="0F766E" w:sz="24"/>
              <w:bottom w:val="single" w:color="E6F4F1" w:sz="2"/>
              <w:right w:val="single" w:color="E6F4F1" w:sz="2"/>
            </w:tcBorders>
            <w:shd w:fill="E6F4F1" w:color="auto" w:val="clear"/>
            <w:tcMar>
              <w:top w:type="dxa" w:w="100"/>
              <w:left w:type="dxa" w:w="180"/>
              <w:bottom w:type="dxa" w:w="100"/>
              <w:right w:type="dxa" w:w="160"/>
            </w:tcMar>
          </w:tcPr>
          <w:p>
            <w:pPr>
              <w:spacing w:after="60"/>
            </w:pPr>
            <w:r>
              <w:rPr>
                <w:b/>
                <w:bCs/>
                <w:color w:val="0F766E"/>
                <w:sz w:val="20"/>
                <w:szCs w:val="20"/>
              </w:rPr>
              <w:t xml:space="preserve">How to use this pack</w:t>
            </w:r>
          </w:p>
          <w:p>
            <w:pPr>
              <w:pStyle w:val="ListParagraph"/>
              <w:numPr>
                <w:ilvl w:val="0"/>
                <w:numId w:val="2"/>
              </w:numPr>
              <w:spacing w:after="50" w:line="264"/>
            </w:pPr>
            <w:r>
              <w:rPr>
                <w:sz w:val="19"/>
                <w:szCs w:val="19"/>
              </w:rPr>
              <w:t xml:space="preserve">Part A: the argument on one page. Read this first and keep it open while you write.</w:t>
            </w:r>
          </w:p>
          <w:p>
            <w:pPr>
              <w:pStyle w:val="ListParagraph"/>
              <w:numPr>
                <w:ilvl w:val="0"/>
                <w:numId w:val="2"/>
              </w:numPr>
              <w:spacing w:after="50" w:line="264"/>
            </w:pPr>
            <w:r>
              <w:rPr>
                <w:sz w:val="19"/>
                <w:szCs w:val="19"/>
              </w:rPr>
              <w:t xml:space="preserve">Part B: one card per chapter (job, what to write, evidence, what the marker wants, traps).</w:t>
            </w:r>
          </w:p>
          <w:p>
            <w:pPr>
              <w:pStyle w:val="ListParagraph"/>
              <w:numPr>
                <w:ilvl w:val="0"/>
                <w:numId w:val="2"/>
              </w:numPr>
              <w:spacing w:after="50" w:line="264"/>
            </w:pPr>
            <w:r>
              <w:rPr>
                <w:sz w:val="19"/>
                <w:szCs w:val="19"/>
              </w:rPr>
              <w:t xml:space="preserve">Part C: six theory lenses, each with a counter-view.</w:t>
            </w:r>
          </w:p>
          <w:p>
            <w:pPr>
              <w:pStyle w:val="ListParagraph"/>
              <w:numPr>
                <w:ilvl w:val="0"/>
                <w:numId w:val="2"/>
              </w:numPr>
              <w:spacing w:after="50" w:line="264"/>
            </w:pPr>
            <w:r>
              <w:rPr>
                <w:sz w:val="19"/>
                <w:szCs w:val="19"/>
              </w:rPr>
              <w:t xml:space="preserve">Part D: the evidence kit (sources, facts, photos, review sample, promise-vs-proof ledger).</w:t>
            </w:r>
          </w:p>
          <w:p>
            <w:pPr>
              <w:pStyle w:val="ListParagraph"/>
              <w:numPr>
                <w:ilvl w:val="0"/>
                <w:numId w:val="2"/>
              </w:numPr>
              <w:spacing w:after="50" w:line="264"/>
            </w:pPr>
            <w:r>
              <w:rPr>
                <w:sz w:val="19"/>
                <w:szCs w:val="19"/>
              </w:rPr>
              <w:t xml:space="preserve">Part E: four recommendations, priority order and a 90-day timeline.</w:t>
            </w:r>
          </w:p>
          <w:p>
            <w:pPr>
              <w:pStyle w:val="ListParagraph"/>
              <w:numPr>
                <w:ilvl w:val="0"/>
                <w:numId w:val="2"/>
              </w:numPr>
              <w:spacing w:after="50" w:line="264"/>
            </w:pPr>
            <w:r>
              <w:rPr>
                <w:sz w:val="19"/>
                <w:szCs w:val="19"/>
              </w:rPr>
              <w:t xml:space="preserve">Part F: references. Part G: checks and a seven-day work plan.</w:t>
            </w:r>
          </w:p>
        </w:tc>
      </w:tr>
    </w:tbl>
    <w:p>
      <w:pPr>
        <w:pStyle w:val="Heading1"/>
        <w:pageBreakBefore/>
      </w:pPr>
      <w:r>
        <w:t xml:space="preserve">Part A. The report on one page</w:t>
      </w:r>
    </w:p>
    <w:p>
      <w:pPr>
        <w:pStyle w:val="Heading2"/>
        <w:keepNext/>
      </w:pPr>
      <w:r>
        <w:t xml:space="preserve">The question the report answers</w:t>
      </w:r>
    </w:p>
    <w:p>
      <w:pPr>
        <w:spacing w:after="90" w:before="0" w:line="276"/>
      </w:pPr>
      <w:r>
        <w:rPr>
          <w:b/>
          <w:bCs/>
          <w:color w:val="1F2A44"/>
          <w:sz w:val="24"/>
          <w:szCs w:val="24"/>
        </w:rPr>
        <w:t xml:space="preserve">Does Meliá White House keep its premium promise at every point a guest touches, and if not, what is the cheapest way to close the gap?</w:t>
      </w:r>
    </w:p>
    <w:p>
      <w:pPr>
        <w:pStyle w:val="Heading2"/>
        <w:keepNext/>
      </w:pPr>
      <w:r>
        <w:t xml:space="preserve">Aim and objectives (reworded)</w:t>
      </w:r>
    </w:p>
    <w:p>
      <w:pPr>
        <w:spacing w:after="90" w:before="0" w:line="276"/>
      </w:pPr>
      <w:r>
        <w:rPr>
          <w:b/>
          <w:bCs/>
          <w:sz w:val="21"/>
          <w:szCs w:val="21"/>
        </w:rPr>
        <w:t xml:space="preserve">Aim:</w:t>
      </w:r>
      <w:r>
        <w:rPr>
          <w:sz w:val="21"/>
          <w:szCs w:val="21"/>
        </w:rPr>
        <w:t xml:space="preserve"> To assess how consistently the hotel’s post-renovation premium strategy reaches the guest, using food and beverage as the main lens, and to recommend practical, costed fixes.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00"/>
        <w:gridCol w:w="6306"/>
        <w:gridCol w:w="3000"/>
      </w:tblGrid>
      <w:tr>
        <w:trPr>
          <w:tblHeader/>
        </w:trPr>
        <w:tc>
          <w:tcPr>
            <w:tcW w:type="dxa" w:w="8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p>
        </w:tc>
        <w:tc>
          <w:tcPr>
            <w:tcW w:type="dxa" w:w="6306"/>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Objective</w:t>
            </w:r>
          </w:p>
        </w:tc>
        <w:tc>
          <w:tcPr>
            <w:tcW w:type="dxa" w:w="30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Answered in</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9"/>
                <w:szCs w:val="19"/>
              </w:rPr>
              <w:t xml:space="preserve">O1</w:t>
            </w:r>
          </w:p>
        </w:tc>
        <w:tc>
          <w:tcPr>
            <w:tcW w:type="dxa" w:w="63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Set out a small set of lenses (quality, condition, value, positioning, recovery) from the literature</w:t>
            </w:r>
          </w:p>
        </w:tc>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Chapter 3</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9"/>
                <w:szCs w:val="19"/>
              </w:rPr>
              <w:t xml:space="preserve">O2</w:t>
            </w:r>
          </w:p>
        </w:tc>
        <w:tc>
          <w:tcPr>
            <w:tcW w:type="dxa" w:w="63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Examine four management decisions through an enterprise lens: the big bet, the Spanish signature, The Level, the premium badge</w:t>
            </w:r>
          </w:p>
        </w:tc>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Chapter 4</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9"/>
                <w:szCs w:val="19"/>
              </w:rPr>
              <w:t xml:space="preserve">O3</w:t>
            </w:r>
          </w:p>
        </w:tc>
        <w:tc>
          <w:tcPr>
            <w:tcW w:type="dxa" w:w="63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Test how well those decisions work using visit evidence, documents and a coded review sample</w:t>
            </w:r>
          </w:p>
        </w:tc>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Chapter 5</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9"/>
                <w:szCs w:val="19"/>
              </w:rPr>
              <w:t xml:space="preserve">O4</w:t>
            </w:r>
          </w:p>
        </w:tc>
        <w:tc>
          <w:tcPr>
            <w:tcW w:type="dxa" w:w="63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Recommend four fixes with cost, timing, KPI and risk</w:t>
            </w:r>
          </w:p>
        </w:tc>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Chapter 6</w:t>
            </w:r>
          </w:p>
        </w:tc>
      </w:tr>
    </w:tbl>
    <w:p>
      <w:pPr>
        <w:spacing w:after="120"/>
      </w:pPr>
    </w:p>
    <w:p>
      <w:pPr>
        <w:pStyle w:val="Heading2"/>
        <w:keepNext/>
      </w:pPr>
      <w:r>
        <w:t xml:space="preserve">The storyline in five beats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7306"/>
      </w:tblGrid>
      <w:tr>
        <w:trPr>
          <w:cantSplit/>
        </w:trPr>
        <w:tc>
          <w:tcPr>
            <w:tcW w:type="dxa" w:w="5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sz w:val="19"/>
                <w:szCs w:val="19"/>
              </w:rPr>
              <w:t xml:space="preserve">1</w:t>
            </w:r>
          </w:p>
        </w:tc>
        <w:tc>
          <w:tcPr>
            <w:tcW w:type="dxa" w:w="23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50" w:line="252"/>
            </w:pPr>
            <w:r>
              <w:rPr>
                <w:b/>
                <w:bCs/>
                <w:sz w:val="19"/>
                <w:szCs w:val="19"/>
              </w:rPr>
              <w:t xml:space="preserve">The big bet</w:t>
            </w:r>
          </w:p>
        </w:tc>
        <w:tc>
          <w:tcPr>
            <w:tcW w:type="dxa" w:w="73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A £40m, five-year renovation of a Grade II listed building while it kept trading. A real asset, and a real cost in disruption.</w:t>
            </w:r>
          </w:p>
        </w:tc>
      </w:tr>
      <w:tr>
        <w:trPr>
          <w:cantSplit/>
        </w:trPr>
        <w:tc>
          <w:tcPr>
            <w:tcW w:type="dxa" w:w="5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sz w:val="19"/>
                <w:szCs w:val="19"/>
              </w:rPr>
              <w:t xml:space="preserve">2</w:t>
            </w:r>
          </w:p>
        </w:tc>
        <w:tc>
          <w:tcPr>
            <w:tcW w:type="dxa" w:w="23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50" w:line="252"/>
            </w:pPr>
            <w:r>
              <w:rPr>
                <w:b/>
                <w:bCs/>
                <w:sz w:val="19"/>
                <w:szCs w:val="19"/>
              </w:rPr>
              <w:t xml:space="preserve">The Spanish signature</w:t>
            </w:r>
          </w:p>
        </w:tc>
        <w:tc>
          <w:tcPr>
            <w:tcW w:type="dxa" w:w="73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Arado, the buffet, Spanish wines and organic cava give the hotel a distinct food and drink identity. Where guests can see it, it works.</w:t>
            </w:r>
          </w:p>
        </w:tc>
      </w:tr>
      <w:tr>
        <w:trPr>
          <w:cantSplit/>
        </w:trPr>
        <w:tc>
          <w:tcPr>
            <w:tcW w:type="dxa" w:w="5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sz w:val="19"/>
                <w:szCs w:val="19"/>
              </w:rPr>
              <w:t xml:space="preserve">3</w:t>
            </w:r>
          </w:p>
        </w:tc>
        <w:tc>
          <w:tcPr>
            <w:tcW w:type="dxa" w:w="23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50" w:line="252"/>
            </w:pPr>
            <w:r>
              <w:rPr>
                <w:b/>
                <w:bCs/>
                <w:sz w:val="19"/>
                <w:szCs w:val="19"/>
              </w:rPr>
              <w:t xml:space="preserve">New income</w:t>
            </w:r>
          </w:p>
        </w:tc>
        <w:tc>
          <w:tcPr>
            <w:tcW w:type="dxa" w:w="73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The Level and £40-a-day public co-working turn quiet space into revenue and feed Arado and 35 Bar through a 10% discount. Smart, but usage is unknown.</w:t>
            </w:r>
          </w:p>
        </w:tc>
      </w:tr>
      <w:tr>
        <w:trPr>
          <w:cantSplit/>
        </w:trPr>
        <w:tc>
          <w:tcPr>
            <w:tcW w:type="dxa" w:w="5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sz w:val="19"/>
                <w:szCs w:val="19"/>
              </w:rPr>
              <w:t xml:space="preserve">4</w:t>
            </w:r>
          </w:p>
        </w:tc>
        <w:tc>
          <w:tcPr>
            <w:tcW w:type="dxa" w:w="23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50" w:line="252"/>
            </w:pPr>
            <w:r>
              <w:rPr>
                <w:b/>
                <w:bCs/>
                <w:sz w:val="19"/>
                <w:szCs w:val="19"/>
              </w:rPr>
              <w:t xml:space="preserve">The cracks</w:t>
            </w:r>
          </w:p>
        </w:tc>
        <w:tc>
          <w:tcPr>
            <w:tcW w:type="dxa" w:w="73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Tarnished lift door, dusty grille, instant coffee in the room, breakfast moved offsite after a fault. Small things, but at a £300 rate they are expensive.</w:t>
            </w:r>
          </w:p>
        </w:tc>
      </w:tr>
      <w:tr>
        <w:trPr>
          <w:cantSplit/>
        </w:trPr>
        <w:tc>
          <w:tcPr>
            <w:tcW w:type="dxa" w:w="5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sz w:val="19"/>
                <w:szCs w:val="19"/>
              </w:rPr>
              <w:t xml:space="preserve">5</w:t>
            </w:r>
          </w:p>
        </w:tc>
        <w:tc>
          <w:tcPr>
            <w:tcW w:type="dxa" w:w="23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50" w:line="252"/>
            </w:pPr>
            <w:r>
              <w:rPr>
                <w:b/>
                <w:bCs/>
                <w:sz w:val="19"/>
                <w:szCs w:val="19"/>
              </w:rPr>
              <w:t xml:space="preserve">The fix</w:t>
            </w:r>
          </w:p>
        </w:tc>
        <w:tc>
          <w:tcPr>
            <w:tcW w:type="dxa" w:w="73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Four cheap, fast actions: a must-be sweep, a breakfast recovery playbook, a Spanish in-room kit, and tracking for The Level.</w:t>
            </w:r>
          </w:p>
        </w:tc>
      </w:tr>
    </w:tbl>
    <w:p>
      <w:pPr>
        <w:spacing w:after="12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FEF3C7" w:sz="2"/>
              <w:left w:val="single" w:color="B45309" w:sz="24"/>
              <w:bottom w:val="single" w:color="FEF3C7" w:sz="2"/>
              <w:right w:val="single" w:color="FEF3C7" w:sz="2"/>
            </w:tcBorders>
            <w:shd w:fill="FEF3C7" w:color="auto" w:val="clear"/>
            <w:tcMar>
              <w:top w:type="dxa" w:w="100"/>
              <w:left w:type="dxa" w:w="180"/>
              <w:bottom w:type="dxa" w:w="100"/>
              <w:right w:type="dxa" w:w="160"/>
            </w:tcMar>
          </w:tcPr>
          <w:p>
            <w:pPr>
              <w:spacing w:after="60"/>
            </w:pPr>
            <w:r>
              <w:rPr>
                <w:b/>
                <w:bCs/>
                <w:color w:val="B45309"/>
                <w:sz w:val="20"/>
                <w:szCs w:val="20"/>
              </w:rPr>
              <w:t xml:space="preserve">Keep this sentence</w:t>
            </w:r>
          </w:p>
          <w:p>
            <w:pPr>
              <w:spacing w:after="50" w:before="0" w:line="276"/>
            </w:pPr>
            <w:r>
              <w:rPr>
                <w:sz w:val="19"/>
                <w:szCs w:val="19"/>
              </w:rPr>
              <w:t xml:space="preserve">"Meliá White House delivers its premium promise where guests look first (public spaces, breakfast, staff) and under-delivers where they look closely (condition and consistency), which matters more at a £300 room rate than at £117."</w:t>
            </w:r>
          </w:p>
        </w:tc>
      </w:tr>
    </w:tbl>
    <w:p>
      <w:pPr>
        <w:spacing w:after="120"/>
      </w:pPr>
    </w:p>
    <w:p>
      <w:pPr>
        <w:pStyle w:val="Heading2"/>
        <w:keepNext/>
      </w:pPr>
      <w:r>
        <w:t xml:space="preserve">Where the marks are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3900"/>
        <w:gridCol w:w="3006"/>
      </w:tblGrid>
      <w:tr>
        <w:trPr>
          <w:tblHeader/>
        </w:trPr>
        <w:tc>
          <w:tcPr>
            <w:tcW w:type="dxa" w:w="23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Criterion</w:t>
            </w:r>
          </w:p>
        </w:tc>
        <w:tc>
          <w:tcPr>
            <w:tcW w:type="dxa" w:w="9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Marks</w:t>
            </w:r>
          </w:p>
        </w:tc>
        <w:tc>
          <w:tcPr>
            <w:tcW w:type="dxa" w:w="39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What an excellent answer shows</w:t>
            </w:r>
          </w:p>
        </w:tc>
        <w:tc>
          <w:tcPr>
            <w:tcW w:type="dxa" w:w="3006"/>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Where you earn it</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9"/>
                <w:szCs w:val="19"/>
              </w:rPr>
              <w:t xml:space="preserve">Introduction</w:t>
            </w:r>
          </w:p>
        </w:tc>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5</w:t>
            </w:r>
          </w:p>
        </w:tc>
        <w:tc>
          <w:tcPr>
            <w:tcW w:type="dxa" w:w="3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Clear aim and objectives, brief context</w:t>
            </w:r>
          </w:p>
        </w:tc>
        <w:tc>
          <w:tcPr>
            <w:tcW w:type="dxa" w:w="30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Chapter 1</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9"/>
                <w:szCs w:val="19"/>
              </w:rPr>
              <w:t xml:space="preserve">Main body</w:t>
            </w:r>
          </w:p>
        </w:tc>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45</w:t>
            </w:r>
          </w:p>
        </w:tc>
        <w:tc>
          <w:tcPr>
            <w:tcW w:type="dxa" w:w="3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Wide reading, authors compared, theory tied to real decisions, strong analysis of decisions</w:t>
            </w:r>
          </w:p>
        </w:tc>
        <w:tc>
          <w:tcPr>
            <w:tcW w:type="dxa" w:w="30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Chapters 3 and 4</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9"/>
                <w:szCs w:val="19"/>
              </w:rPr>
              <w:t xml:space="preserve">Recommendations</w:t>
            </w:r>
          </w:p>
        </w:tc>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35</w:t>
            </w:r>
          </w:p>
        </w:tc>
        <w:tc>
          <w:tcPr>
            <w:tcW w:type="dxa" w:w="3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Evaluation from data and literature, each action justified by the visit and theory, specific conclusions</w:t>
            </w:r>
          </w:p>
        </w:tc>
        <w:tc>
          <w:tcPr>
            <w:tcW w:type="dxa" w:w="30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Chapters 5, 6 and 7</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9"/>
                <w:szCs w:val="19"/>
              </w:rPr>
              <w:t xml:space="preserve">References</w:t>
            </w:r>
          </w:p>
        </w:tc>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5</w:t>
            </w:r>
          </w:p>
        </w:tc>
        <w:tc>
          <w:tcPr>
            <w:tcW w:type="dxa" w:w="3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Harvard, range beyond the reading list, quality sources</w:t>
            </w:r>
          </w:p>
        </w:tc>
        <w:tc>
          <w:tcPr>
            <w:tcW w:type="dxa" w:w="30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Part F</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9"/>
                <w:szCs w:val="19"/>
              </w:rPr>
              <w:t xml:space="preserve">Format</w:t>
            </w:r>
          </w:p>
        </w:tc>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10</w:t>
            </w:r>
          </w:p>
        </w:tc>
        <w:tc>
          <w:tcPr>
            <w:tcW w:type="dxa" w:w="3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Neat, flowing, structured, appendices used well</w:t>
            </w:r>
          </w:p>
        </w:tc>
        <w:tc>
          <w:tcPr>
            <w:tcW w:type="dxa" w:w="30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9"/>
                <w:szCs w:val="19"/>
              </w:rPr>
              <w:t xml:space="preserve">Title page, figures, appendices</w:t>
            </w:r>
          </w:p>
        </w:tc>
      </w:tr>
    </w:tbl>
    <w:p>
      <w:pPr>
        <w:spacing w:after="80"/>
      </w:pPr>
    </w:p>
    <w:p>
      <w:pPr>
        <w:spacing w:after="90" w:before="0" w:line="276"/>
      </w:pPr>
      <w:r>
        <w:rPr>
          <w:sz w:val="19"/>
          <w:szCs w:val="19"/>
        </w:rPr>
        <w:t xml:space="preserve">Learning outcomes: </w:t>
      </w:r>
      <w:r>
        <w:rPr>
          <w:b/>
          <w:bCs/>
          <w:sz w:val="19"/>
          <w:szCs w:val="19"/>
        </w:rPr>
        <w:t xml:space="preserve">LO1</w:t>
      </w:r>
      <w:r>
        <w:rPr>
          <w:sz w:val="19"/>
          <w:szCs w:val="19"/>
        </w:rPr>
        <w:t xml:space="preserve"> enterprise principles and the consultancy process (Chapters 2 and 4). </w:t>
      </w:r>
      <w:r>
        <w:rPr>
          <w:b/>
          <w:bCs/>
          <w:sz w:val="19"/>
          <w:szCs w:val="19"/>
        </w:rPr>
        <w:t xml:space="preserve">LO2</w:t>
      </w:r>
      <w:r>
        <w:rPr>
          <w:sz w:val="19"/>
          <w:szCs w:val="19"/>
        </w:rPr>
        <w:t xml:space="preserve"> research inside and outside the organisation (Chapters 2 and 5, appendices). </w:t>
      </w:r>
      <w:r>
        <w:rPr>
          <w:b/>
          <w:bCs/>
          <w:sz w:val="19"/>
          <w:szCs w:val="19"/>
        </w:rPr>
        <w:t xml:space="preserve">LO3</w:t>
      </w:r>
      <w:r>
        <w:rPr>
          <w:sz w:val="19"/>
          <w:szCs w:val="19"/>
        </w:rPr>
        <w:t xml:space="preserve"> feasible recommendations (Chapters 6 and 7).</w:t>
      </w:r>
    </w:p>
    <w:p>
      <w:pPr>
        <w:pStyle w:val="Heading1"/>
        <w:pageBreakBefore/>
      </w:pPr>
      <w:r>
        <w:t xml:space="preserve">Part B. Chapter cards</w:t>
      </w:r>
    </w:p>
    <w:p>
      <w:pPr>
        <w:spacing w:after="90" w:before="0" w:line="276"/>
      </w:pPr>
      <w:r>
        <w:rPr>
          <w:sz w:val="21"/>
          <w:szCs w:val="21"/>
        </w:rPr>
        <w:t xml:space="preserve">Word budget with running total. Each card tells you what the chapter is for, what to put in it, which evidence and sources to use, and what to avoid.</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1700"/>
        <w:gridCol w:w="1700"/>
        <w:gridCol w:w="1706"/>
      </w:tblGrid>
      <w:tr>
        <w:trPr>
          <w:tblHeader/>
        </w:trPr>
        <w:tc>
          <w:tcPr>
            <w:tcW w:type="dxa" w:w="8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No.</w:t>
            </w:r>
          </w:p>
        </w:tc>
        <w:tc>
          <w:tcPr>
            <w:tcW w:type="dxa" w:w="42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Chapter</w:t>
            </w:r>
          </w:p>
        </w:tc>
        <w:tc>
          <w:tcPr>
            <w:tcW w:type="dxa" w:w="17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Words</w:t>
            </w:r>
          </w:p>
        </w:tc>
        <w:tc>
          <w:tcPr>
            <w:tcW w:type="dxa" w:w="17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Running total</w:t>
            </w:r>
          </w:p>
        </w:tc>
        <w:tc>
          <w:tcPr>
            <w:tcW w:type="dxa" w:w="1706"/>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Share</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1</w:t>
            </w:r>
          </w:p>
        </w:tc>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Introduction</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250</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250</w:t>
            </w:r>
          </w:p>
        </w:tc>
        <w:tc>
          <w:tcPr>
            <w:tcW w:type="dxa" w:w="17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8%</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2</w:t>
            </w:r>
          </w:p>
        </w:tc>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Approach and methods</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300</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550</w:t>
            </w:r>
          </w:p>
        </w:tc>
        <w:tc>
          <w:tcPr>
            <w:tcW w:type="dxa" w:w="17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10%</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3</w:t>
            </w:r>
          </w:p>
        </w:tc>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Six lenses</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650</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1,200</w:t>
            </w:r>
          </w:p>
        </w:tc>
        <w:tc>
          <w:tcPr>
            <w:tcW w:type="dxa" w:w="17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22%</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4</w:t>
            </w:r>
          </w:p>
        </w:tc>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Four decisions analysed</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850</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2,050</w:t>
            </w:r>
          </w:p>
        </w:tc>
        <w:tc>
          <w:tcPr>
            <w:tcW w:type="dxa" w:w="17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28%</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5</w:t>
            </w:r>
          </w:p>
        </w:tc>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How well is it working?</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450</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2,500</w:t>
            </w:r>
          </w:p>
        </w:tc>
        <w:tc>
          <w:tcPr>
            <w:tcW w:type="dxa" w:w="17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15%</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6</w:t>
            </w:r>
          </w:p>
        </w:tc>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Recommendations</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400</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2,900</w:t>
            </w:r>
          </w:p>
        </w:tc>
        <w:tc>
          <w:tcPr>
            <w:tcW w:type="dxa" w:w="17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13%</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7</w:t>
            </w:r>
          </w:p>
        </w:tc>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Conclusion</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100</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3,000</w:t>
            </w:r>
          </w:p>
        </w:tc>
        <w:tc>
          <w:tcPr>
            <w:tcW w:type="dxa" w:w="17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4%</w:t>
            </w:r>
          </w:p>
        </w:tc>
      </w:tr>
    </w:tbl>
    <w:p>
      <w:pPr>
        <w:spacing w:after="16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900"/>
        <w:gridCol w:w="8206"/>
      </w:tblGrid>
      <w:tr>
        <w:trPr>
          <w:cantSplit/>
        </w:trPr>
        <w:tc>
          <w:tcPr>
            <w:tcW w:type="dxa" w:w="10106"/>
            <w:gridSpan w:val="2"/>
            <w:tcBorders>
              <w:top w:val="single" w:color="0F766E" w:sz="4"/>
              <w:left w:val="single" w:color="0F766E" w:sz="4"/>
              <w:bottom w:val="single" w:color="0F766E" w:sz="4"/>
              <w:right w:val="single" w:color="0F766E" w:sz="4"/>
            </w:tcBorders>
            <w:shd w:fill="0F766E" w:color="auto" w:val="clear"/>
            <w:tcMar>
              <w:top w:type="dxa" w:w="80"/>
              <w:left w:type="dxa" w:w="130"/>
              <w:bottom w:type="dxa" w:w="80"/>
              <w:right w:type="dxa" w:w="130"/>
            </w:tcMar>
          </w:tcPr>
          <w:p>
            <w:r>
              <w:rPr>
                <w:b/>
                <w:bCs/>
                <w:color w:val="FFFFFF"/>
                <w:sz w:val="23"/>
                <w:szCs w:val="23"/>
              </w:rPr>
              <w:t xml:space="preserve">Chapter 1. Introduction (250 words)</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Job</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Set up the bet and the question. No history lesson.</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Write</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pStyle w:val="ListParagraph"/>
              <w:numPr>
                <w:ilvl w:val="0"/>
                <w:numId w:val="2"/>
              </w:numPr>
              <w:spacing w:after="50" w:line="264"/>
            </w:pPr>
            <w:r>
              <w:rPr>
                <w:sz w:val="19"/>
                <w:szCs w:val="19"/>
              </w:rPr>
              <w:t xml:space="preserve">One sentence of context: Grade II listed 1936 building, Meliá-operated since 1999, £40m renovation completed April 2023, positioned as premium.</w:t>
            </w:r>
          </w:p>
          <w:p>
            <w:pPr>
              <w:pStyle w:val="ListParagraph"/>
              <w:numPr>
                <w:ilvl w:val="0"/>
                <w:numId w:val="2"/>
              </w:numPr>
              <w:spacing w:after="50" w:line="264"/>
            </w:pPr>
            <w:r>
              <w:rPr>
                <w:sz w:val="19"/>
                <w:szCs w:val="19"/>
              </w:rPr>
              <w:t xml:space="preserve">The aim and the four objectives as short questions.</w:t>
            </w:r>
          </w:p>
          <w:p>
            <w:pPr>
              <w:pStyle w:val="ListParagraph"/>
              <w:numPr>
                <w:ilvl w:val="0"/>
                <w:numId w:val="2"/>
              </w:numPr>
              <w:spacing w:after="50" w:line="264"/>
            </w:pPr>
            <w:r>
              <w:rPr>
                <w:sz w:val="19"/>
                <w:szCs w:val="19"/>
              </w:rPr>
              <w:t xml:space="preserve">Your argument sentence (Part A, "Keep this sentence").</w:t>
            </w:r>
          </w:p>
          <w:p>
            <w:pPr>
              <w:pStyle w:val="ListParagraph"/>
              <w:numPr>
                <w:ilvl w:val="0"/>
                <w:numId w:val="2"/>
              </w:numPr>
              <w:spacing w:after="50" w:line="264"/>
            </w:pPr>
            <w:r>
              <w:rPr>
                <w:sz w:val="19"/>
                <w:szCs w:val="19"/>
              </w:rPr>
              <w:t xml:space="preserve">A one-line roadmap.</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Evidence</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Camden planning documents; Business Traveller (2024); Meliá press release (2023).</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Marker wants</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Measurable aim, objectives that map to the chapters, context kept brief.</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Avoid</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Listing facilities, copying the press release, vague aims such as "explore" or "look at".</w:t>
            </w:r>
          </w:p>
        </w:tc>
      </w:tr>
    </w:tbl>
    <w:p>
      <w:pPr>
        <w:spacing w:after="20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900"/>
        <w:gridCol w:w="8206"/>
      </w:tblGrid>
      <w:tr>
        <w:trPr>
          <w:cantSplit/>
        </w:trPr>
        <w:tc>
          <w:tcPr>
            <w:tcW w:type="dxa" w:w="10106"/>
            <w:gridSpan w:val="2"/>
            <w:tcBorders>
              <w:top w:val="single" w:color="0F766E" w:sz="4"/>
              <w:left w:val="single" w:color="0F766E" w:sz="4"/>
              <w:bottom w:val="single" w:color="0F766E" w:sz="4"/>
              <w:right w:val="single" w:color="0F766E" w:sz="4"/>
            </w:tcBorders>
            <w:shd w:fill="0F766E" w:color="auto" w:val="clear"/>
            <w:tcMar>
              <w:top w:type="dxa" w:w="80"/>
              <w:left w:type="dxa" w:w="130"/>
              <w:bottom w:type="dxa" w:w="80"/>
              <w:right w:type="dxa" w:w="130"/>
            </w:tcMar>
          </w:tcPr>
          <w:p>
            <w:r>
              <w:rPr>
                <w:b/>
                <w:bCs/>
                <w:color w:val="FFFFFF"/>
                <w:sz w:val="23"/>
                <w:szCs w:val="23"/>
              </w:rPr>
              <w:t xml:space="preserve">Chapter 2. Approach and methods (300 words)</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Job</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Show you worked as a consultant (LO1) and gathered data from inside and outside the hotel (LO2), and be honest about limits.</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Write</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pStyle w:val="ListParagraph"/>
              <w:numPr>
                <w:ilvl w:val="0"/>
                <w:numId w:val="2"/>
              </w:numPr>
              <w:spacing w:after="50" w:line="264"/>
            </w:pPr>
            <w:r>
              <w:rPr>
                <w:b/>
                <w:bCs/>
                <w:sz w:val="19"/>
                <w:szCs w:val="19"/>
              </w:rPr>
              <w:t xml:space="preserve">Process.</w:t>
            </w:r>
            <w:r>
              <w:rPr>
                <w:sz w:val="19"/>
                <w:szCs w:val="19"/>
              </w:rPr>
              <w:t xml:space="preserve"> Five stages: entry, diagnosis, data gathering, feedback, recommendations. Use Greiner and Metzger (1983) for the staged logic and Cope (2003) for the consultant’s credibility and communication. Say what a student consultant cannot do (no contract, no client feedback loop).</w:t>
            </w:r>
          </w:p>
          <w:p>
            <w:pPr>
              <w:pStyle w:val="ListParagraph"/>
              <w:numPr>
                <w:ilvl w:val="0"/>
                <w:numId w:val="2"/>
              </w:numPr>
              <w:spacing w:after="50" w:line="264"/>
            </w:pPr>
            <w:r>
              <w:rPr>
                <w:b/>
                <w:bCs/>
                <w:sz w:val="19"/>
                <w:szCs w:val="19"/>
              </w:rPr>
              <w:t xml:space="preserve">Design.</w:t>
            </w:r>
            <w:r>
              <w:rPr>
                <w:sz w:val="19"/>
                <w:szCs w:val="19"/>
              </w:rPr>
              <w:t xml:space="preserve"> Single-case study (Yin, 2018). Say why one hotel gives depth over breadth.</w:t>
            </w:r>
          </w:p>
          <w:p>
            <w:pPr>
              <w:pStyle w:val="ListParagraph"/>
              <w:numPr>
                <w:ilvl w:val="0"/>
                <w:numId w:val="2"/>
              </w:numPr>
              <w:spacing w:after="50" w:line="264"/>
            </w:pPr>
            <w:r>
              <w:rPr>
                <w:b/>
                <w:bCs/>
                <w:sz w:val="19"/>
                <w:szCs w:val="19"/>
              </w:rPr>
              <w:t xml:space="preserve">Primary data.</w:t>
            </w:r>
            <w:r>
              <w:rPr>
                <w:sz w:val="19"/>
                <w:szCs w:val="19"/>
              </w:rPr>
              <w:t xml:space="preserve"> Non-participant observation and photographs on the hosted tour (Veal, 2017), plus the staff session.</w:t>
            </w:r>
          </w:p>
          <w:p>
            <w:pPr>
              <w:pStyle w:val="ListParagraph"/>
              <w:numPr>
                <w:ilvl w:val="0"/>
                <w:numId w:val="2"/>
              </w:numPr>
              <w:spacing w:after="50" w:line="264"/>
            </w:pPr>
            <w:r>
              <w:rPr>
                <w:b/>
                <w:bCs/>
                <w:sz w:val="19"/>
                <w:szCs w:val="19"/>
              </w:rPr>
              <w:t xml:space="preserve">Secondary data.</w:t>
            </w:r>
            <w:r>
              <w:rPr>
                <w:sz w:val="19"/>
                <w:szCs w:val="19"/>
              </w:rPr>
              <w:t xml:space="preserve"> Planning documents, Meliá communications, trade press, Brand Finance and S&amp;P coverage, and a coded review sample (Braun and Clarke, 2006).</w:t>
            </w:r>
          </w:p>
          <w:p>
            <w:pPr>
              <w:pStyle w:val="ListParagraph"/>
              <w:numPr>
                <w:ilvl w:val="0"/>
                <w:numId w:val="2"/>
              </w:numPr>
              <w:spacing w:after="50" w:line="264"/>
            </w:pPr>
            <w:r>
              <w:rPr>
                <w:b/>
                <w:bCs/>
                <w:sz w:val="19"/>
                <w:szCs w:val="19"/>
              </w:rPr>
              <w:t xml:space="preserve">Triangulation.</w:t>
            </w:r>
            <w:r>
              <w:rPr>
                <w:sz w:val="19"/>
                <w:szCs w:val="19"/>
              </w:rPr>
              <w:t xml:space="preserve"> Denzin (1978) and Bryman and Bell (2015): cross-check each claim against at least two source types.</w:t>
            </w:r>
          </w:p>
          <w:p>
            <w:pPr>
              <w:pStyle w:val="ListParagraph"/>
              <w:numPr>
                <w:ilvl w:val="0"/>
                <w:numId w:val="2"/>
              </w:numPr>
              <w:spacing w:after="50" w:line="264"/>
            </w:pPr>
            <w:r>
              <w:rPr>
                <w:b/>
                <w:bCs/>
                <w:sz w:val="19"/>
                <w:szCs w:val="19"/>
              </w:rPr>
              <w:t xml:space="preserve">Limits.</w:t>
            </w:r>
            <w:r>
              <w:rPr>
                <w:sz w:val="19"/>
                <w:szCs w:val="19"/>
              </w:rPr>
              <w:t xml:space="preserve"> One visit; a hosted, managed tour; staff session focused on careers; no management accounts; promotional sources; self-selected reviews (Litvin et al., 2008).</w:t>
            </w:r>
          </w:p>
          <w:p>
            <w:pPr>
              <w:pStyle w:val="ListParagraph"/>
              <w:numPr>
                <w:ilvl w:val="0"/>
                <w:numId w:val="2"/>
              </w:numPr>
              <w:spacing w:after="50" w:line="264"/>
            </w:pPr>
            <w:r>
              <w:rPr>
                <w:b/>
                <w:bCs/>
                <w:sz w:val="19"/>
                <w:szCs w:val="19"/>
              </w:rPr>
              <w:t xml:space="preserve">Ethics.</w:t>
            </w:r>
            <w:r>
              <w:rPr>
                <w:sz w:val="19"/>
                <w:szCs w:val="19"/>
              </w:rPr>
              <w:t xml:space="preserve"> No identifiable staff or guests in photos; reviews paraphrased and attributed by platform and month only.</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Evidence</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Source map in Part D1; review sampling protocol in Part D4.</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Marker wants</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A process that is appraised, not just named; triangulation shown with a reason; limits that are specific.</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Avoid</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Naming methods with no link to your data; claiming the visit was neutral.</w:t>
            </w:r>
          </w:p>
        </w:tc>
      </w:tr>
    </w:tbl>
    <w:p>
      <w:pPr>
        <w:spacing w:after="20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900"/>
        <w:gridCol w:w="8206"/>
      </w:tblGrid>
      <w:tr>
        <w:trPr>
          <w:cantSplit/>
        </w:trPr>
        <w:tc>
          <w:tcPr>
            <w:tcW w:type="dxa" w:w="10106"/>
            <w:gridSpan w:val="2"/>
            <w:tcBorders>
              <w:top w:val="single" w:color="0F766E" w:sz="4"/>
              <w:left w:val="single" w:color="0F766E" w:sz="4"/>
              <w:bottom w:val="single" w:color="0F766E" w:sz="4"/>
              <w:right w:val="single" w:color="0F766E" w:sz="4"/>
            </w:tcBorders>
            <w:shd w:fill="0F766E" w:color="auto" w:val="clear"/>
            <w:tcMar>
              <w:top w:type="dxa" w:w="80"/>
              <w:left w:type="dxa" w:w="130"/>
              <w:bottom w:type="dxa" w:w="80"/>
              <w:right w:type="dxa" w:w="130"/>
            </w:tcMar>
          </w:tcPr>
          <w:p>
            <w:r>
              <w:rPr>
                <w:b/>
                <w:bCs/>
                <w:color w:val="FFFFFF"/>
                <w:sz w:val="23"/>
                <w:szCs w:val="23"/>
              </w:rPr>
              <w:t xml:space="preserve">Chapter 3. Six lenses (650 words)</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Job</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Give the analysis its tools. About 100 words per lens plus 50 to introduce.</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Write</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pStyle w:val="ListParagraph"/>
              <w:numPr>
                <w:ilvl w:val="0"/>
                <w:numId w:val="2"/>
              </w:numPr>
              <w:spacing w:after="50" w:line="264"/>
            </w:pPr>
            <w:r>
              <w:rPr>
                <w:sz w:val="19"/>
                <w:szCs w:val="19"/>
              </w:rPr>
              <w:t xml:space="preserve">Each lens in the same order: idea, who disagrees, how you will use it.</w:t>
            </w:r>
          </w:p>
          <w:p>
            <w:pPr>
              <w:pStyle w:val="ListParagraph"/>
              <w:numPr>
                <w:ilvl w:val="0"/>
                <w:numId w:val="2"/>
              </w:numPr>
              <w:spacing w:after="50" w:line="264"/>
            </w:pPr>
            <w:r>
              <w:rPr>
                <w:sz w:val="19"/>
                <w:szCs w:val="19"/>
              </w:rPr>
              <w:t xml:space="preserve">At least two lenses should compare authors directly (see Part C).</w:t>
            </w:r>
          </w:p>
          <w:p>
            <w:pPr>
              <w:pStyle w:val="ListParagraph"/>
              <w:numPr>
                <w:ilvl w:val="0"/>
                <w:numId w:val="2"/>
              </w:numPr>
              <w:spacing w:after="50" w:line="264"/>
            </w:pPr>
            <w:r>
              <w:rPr>
                <w:sz w:val="19"/>
                <w:szCs w:val="19"/>
              </w:rPr>
              <w:t xml:space="preserve">Close with a two-sentence statement of how the lenses fit together.</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Evidence</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Part C cards. Quote the references from Part F only.</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Marker wants</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Several perspectives, authors compared, each theory linked to a real hotel decision.</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Avoid</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More than six lenses; definitions with no critique; theory that never reappears in Chapters 4 to 6.</w:t>
            </w:r>
          </w:p>
        </w:tc>
      </w:tr>
    </w:tbl>
    <w:p>
      <w:pPr>
        <w:spacing w:after="20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900"/>
        <w:gridCol w:w="8206"/>
      </w:tblGrid>
      <w:tr>
        <w:trPr>
          <w:cantSplit/>
        </w:trPr>
        <w:tc>
          <w:tcPr>
            <w:tcW w:type="dxa" w:w="10106"/>
            <w:gridSpan w:val="2"/>
            <w:tcBorders>
              <w:top w:val="single" w:color="0F766E" w:sz="4"/>
              <w:left w:val="single" w:color="0F766E" w:sz="4"/>
              <w:bottom w:val="single" w:color="0F766E" w:sz="4"/>
              <w:right w:val="single" w:color="0F766E" w:sz="4"/>
            </w:tcBorders>
            <w:shd w:fill="0F766E" w:color="auto" w:val="clear"/>
            <w:tcMar>
              <w:top w:type="dxa" w:w="80"/>
              <w:left w:type="dxa" w:w="130"/>
              <w:bottom w:type="dxa" w:w="80"/>
              <w:right w:type="dxa" w:w="130"/>
            </w:tcMar>
          </w:tcPr>
          <w:p>
            <w:r>
              <w:rPr>
                <w:b/>
                <w:bCs/>
                <w:color w:val="FFFFFF"/>
                <w:sz w:val="23"/>
                <w:szCs w:val="23"/>
              </w:rPr>
              <w:t xml:space="preserve">Chapter 4. Four decisions analysed (850 words, about 210 each)</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Job</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The core of the 45 marks. Treat each decision as an enterprise choice: what was the bet, what does theory say, what does the evidence show, was it a good call?</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Write</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pStyle w:val="ListParagraph"/>
              <w:numPr>
                <w:ilvl w:val="0"/>
                <w:numId w:val="2"/>
              </w:numPr>
              <w:spacing w:after="50" w:line="264"/>
            </w:pPr>
            <w:r>
              <w:rPr>
                <w:sz w:val="19"/>
                <w:szCs w:val="19"/>
              </w:rPr>
              <w:t xml:space="preserve">Pattern for every paragraph: </w:t>
            </w:r>
            <w:r>
              <w:rPr>
                <w:b/>
                <w:bCs/>
                <w:sz w:val="19"/>
                <w:szCs w:val="19"/>
              </w:rPr>
              <w:t xml:space="preserve">claim, lens, evidence, verdict</w:t>
            </w:r>
            <w:r>
              <w:rPr>
                <w:sz w:val="19"/>
                <w:szCs w:val="19"/>
              </w:rPr>
              <w:t xml:space="preserve">. The verdict is the sentence that earns marks.</w:t>
            </w:r>
          </w:p>
          <w:p>
            <w:pPr>
              <w:pStyle w:val="ListParagraph"/>
              <w:numPr>
                <w:ilvl w:val="0"/>
                <w:numId w:val="2"/>
              </w:numPr>
              <w:spacing w:after="50" w:line="264"/>
            </w:pPr>
            <w:r>
              <w:rPr>
                <w:b/>
                <w:bCs/>
                <w:sz w:val="19"/>
                <w:szCs w:val="19"/>
              </w:rPr>
              <w:t xml:space="preserve">Decision 1, the big bet:</w:t>
            </w:r>
            <w:r>
              <w:rPr>
                <w:sz w:val="19"/>
                <w:szCs w:val="19"/>
              </w:rPr>
              <w:t xml:space="preserve"> Grant (1991) on the listed building as a scarce resource; Eisenhardt and Martin (2000) on renovating while trading as a capability; Poria et al. (2003) on whether guests actually value heritage. Verdict on disruption cost using reviews.</w:t>
            </w:r>
          </w:p>
          <w:p>
            <w:pPr>
              <w:pStyle w:val="ListParagraph"/>
              <w:numPr>
                <w:ilvl w:val="0"/>
                <w:numId w:val="2"/>
              </w:numPr>
              <w:spacing w:after="50" w:line="264"/>
            </w:pPr>
            <w:r>
              <w:rPr>
                <w:b/>
                <w:bCs/>
                <w:sz w:val="19"/>
                <w:szCs w:val="19"/>
              </w:rPr>
              <w:t xml:space="preserve">Decision 2, the Spanish signature:</w:t>
            </w:r>
            <w:r>
              <w:rPr>
                <w:sz w:val="19"/>
                <w:szCs w:val="19"/>
              </w:rPr>
              <w:t xml:space="preserve"> Kim and Mauborgne (2004) against Treacy and Wiersema (1993). Evidence from Figs. 2, 3 and 5; Cousins et al. (2014) or Davis et al. (2018) on buffet operations.</w:t>
            </w:r>
          </w:p>
          <w:p>
            <w:pPr>
              <w:pStyle w:val="ListParagraph"/>
              <w:numPr>
                <w:ilvl w:val="0"/>
                <w:numId w:val="2"/>
              </w:numPr>
              <w:spacing w:after="50" w:line="264"/>
            </w:pPr>
            <w:r>
              <w:rPr>
                <w:b/>
                <w:bCs/>
                <w:sz w:val="19"/>
                <w:szCs w:val="19"/>
              </w:rPr>
              <w:t xml:space="preserve">Decision 3, The Level:</w:t>
            </w:r>
            <w:r>
              <w:rPr>
                <w:sz w:val="19"/>
                <w:szCs w:val="19"/>
              </w:rPr>
              <w:t xml:space="preserve"> Ansoff (1957) on related diversification; Drucker (1985) on innovation from under-used resources; Olsen et al. (2008). Evidence: Fig. 4, Fig. 8, Business Traveller (2024).</w:t>
            </w:r>
          </w:p>
          <w:p>
            <w:pPr>
              <w:pStyle w:val="ListParagraph"/>
              <w:numPr>
                <w:ilvl w:val="0"/>
                <w:numId w:val="2"/>
              </w:numPr>
              <w:spacing w:after="50" w:line="264"/>
            </w:pPr>
            <w:r>
              <w:rPr>
                <w:b/>
                <w:bCs/>
                <w:sz w:val="19"/>
                <w:szCs w:val="19"/>
              </w:rPr>
              <w:t xml:space="preserve">Decision 4, the premium badge:</w:t>
            </w:r>
            <w:r>
              <w:rPr>
                <w:sz w:val="19"/>
                <w:szCs w:val="19"/>
              </w:rPr>
              <w:t xml:space="preserve"> Zeithaml (1988) and Xia et al. (2004) on value and fairness at £300 against £117; Manaktola and Jauhari (2007) on whether sustainability moves guests. Treat the 65% premium share and S&amp;P ranking as corporate claims.</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Evidence</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Figs. 1 to 8; Table D3 fact check; ledger in Part D5.</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Marker wants</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Exceptional analysis of decisions, not description. Enterprise language: innovation, diversification, use of resources.</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Avoid</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Praise with no trade-off; reporting the £40m figure without asking what it bought.</w:t>
            </w:r>
          </w:p>
        </w:tc>
      </w:tr>
    </w:tbl>
    <w:p>
      <w:pPr>
        <w:spacing w:after="20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900"/>
        <w:gridCol w:w="8206"/>
      </w:tblGrid>
      <w:tr>
        <w:trPr>
          <w:cantSplit/>
        </w:trPr>
        <w:tc>
          <w:tcPr>
            <w:tcW w:type="dxa" w:w="10106"/>
            <w:gridSpan w:val="2"/>
            <w:tcBorders>
              <w:top w:val="single" w:color="0F766E" w:sz="4"/>
              <w:left w:val="single" w:color="0F766E" w:sz="4"/>
              <w:bottom w:val="single" w:color="0F766E" w:sz="4"/>
              <w:right w:val="single" w:color="0F766E" w:sz="4"/>
            </w:tcBorders>
            <w:shd w:fill="0F766E" w:color="auto" w:val="clear"/>
            <w:tcMar>
              <w:top w:type="dxa" w:w="80"/>
              <w:left w:type="dxa" w:w="130"/>
              <w:bottom w:type="dxa" w:w="80"/>
              <w:right w:type="dxa" w:w="130"/>
            </w:tcMar>
          </w:tcPr>
          <w:p>
            <w:r>
              <w:rPr>
                <w:b/>
                <w:bCs/>
                <w:color w:val="FFFFFF"/>
                <w:sz w:val="23"/>
                <w:szCs w:val="23"/>
              </w:rPr>
              <w:t xml:space="preserve">Chapter 5. How well is it working? (450 words)</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Job</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Pull the evidence together and show where promise and proof part company.</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Write</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pStyle w:val="ListParagraph"/>
              <w:numPr>
                <w:ilvl w:val="0"/>
                <w:numId w:val="2"/>
              </w:numPr>
              <w:spacing w:after="50" w:line="264"/>
            </w:pPr>
            <w:r>
              <w:rPr>
                <w:sz w:val="19"/>
                <w:szCs w:val="19"/>
              </w:rPr>
              <w:t xml:space="preserve">Triangulation result: where visit, documents and reviews agree, and where they do not.</w:t>
            </w:r>
          </w:p>
          <w:p>
            <w:pPr>
              <w:pStyle w:val="ListParagraph"/>
              <w:numPr>
                <w:ilvl w:val="0"/>
                <w:numId w:val="2"/>
              </w:numPr>
              <w:spacing w:after="50" w:line="264"/>
            </w:pPr>
            <w:r>
              <w:rPr>
                <w:sz w:val="19"/>
                <w:szCs w:val="19"/>
              </w:rPr>
              <w:t xml:space="preserve">Headline numbers from the review sample (one chart in Appendix 4; quote two or three figures).</w:t>
            </w:r>
          </w:p>
          <w:p>
            <w:pPr>
              <w:pStyle w:val="ListParagraph"/>
              <w:numPr>
                <w:ilvl w:val="0"/>
                <w:numId w:val="2"/>
              </w:numPr>
              <w:spacing w:after="50" w:line="264"/>
            </w:pPr>
            <w:r>
              <w:rPr>
                <w:sz w:val="19"/>
                <w:szCs w:val="19"/>
              </w:rPr>
              <w:t xml:space="preserve">The ledger: quote the two biggest gaps (breakfast disruption, condition).</w:t>
            </w:r>
          </w:p>
          <w:p>
            <w:pPr>
              <w:pStyle w:val="ListParagraph"/>
              <w:numPr>
                <w:ilvl w:val="0"/>
                <w:numId w:val="2"/>
              </w:numPr>
              <w:spacing w:after="50" w:line="264"/>
            </w:pPr>
            <w:r>
              <w:rPr>
                <w:sz w:val="19"/>
                <w:szCs w:val="19"/>
              </w:rPr>
              <w:t xml:space="preserve">Journey point: the weakest touchpoint shapes the memory (Zomerdijk and Voss, 2010).</w:t>
            </w:r>
          </w:p>
          <w:p>
            <w:pPr>
              <w:pStyle w:val="ListParagraph"/>
              <w:numPr>
                <w:ilvl w:val="0"/>
                <w:numId w:val="2"/>
              </w:numPr>
              <w:spacing w:after="50" w:line="264"/>
            </w:pPr>
            <w:r>
              <w:rPr>
                <w:sz w:val="19"/>
                <w:szCs w:val="19"/>
              </w:rPr>
              <w:t xml:space="preserve">Staff: named in positive reviews; link to Schneider and Bowen (1993) but flag that causality is weak.</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Evidence</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Appendices 1, 4 and 5.</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Marker wants</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Evaluation through data, with sources and limits stated.</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Avoid</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Presenting 36 reviews as a statistical result. Call it an indicative sample.</w:t>
            </w:r>
          </w:p>
        </w:tc>
      </w:tr>
    </w:tbl>
    <w:p>
      <w:pPr>
        <w:spacing w:after="20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900"/>
        <w:gridCol w:w="8206"/>
      </w:tblGrid>
      <w:tr>
        <w:trPr>
          <w:cantSplit/>
        </w:trPr>
        <w:tc>
          <w:tcPr>
            <w:tcW w:type="dxa" w:w="10106"/>
            <w:gridSpan w:val="2"/>
            <w:tcBorders>
              <w:top w:val="single" w:color="0F766E" w:sz="4"/>
              <w:left w:val="single" w:color="0F766E" w:sz="4"/>
              <w:bottom w:val="single" w:color="0F766E" w:sz="4"/>
              <w:right w:val="single" w:color="0F766E" w:sz="4"/>
            </w:tcBorders>
            <w:shd w:fill="0F766E" w:color="auto" w:val="clear"/>
            <w:tcMar>
              <w:top w:type="dxa" w:w="80"/>
              <w:left w:type="dxa" w:w="130"/>
              <w:bottom w:type="dxa" w:w="80"/>
              <w:right w:type="dxa" w:w="130"/>
            </w:tcMar>
          </w:tcPr>
          <w:p>
            <w:r>
              <w:rPr>
                <w:b/>
                <w:bCs/>
                <w:color w:val="FFFFFF"/>
                <w:sz w:val="23"/>
                <w:szCs w:val="23"/>
              </w:rPr>
              <w:t xml:space="preserve">Chapter 6. Recommendations (400 words, about 100 each)</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Job</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Worth 35 marks with Chapter 7. Each one must be specific, costed, timed, measurable and traceable to evidence.</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Write</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pStyle w:val="ListParagraph"/>
              <w:numPr>
                <w:ilvl w:val="0"/>
                <w:numId w:val="2"/>
              </w:numPr>
              <w:spacing w:after="50" w:line="264"/>
            </w:pPr>
            <w:r>
              <w:rPr>
                <w:sz w:val="19"/>
                <w:szCs w:val="19"/>
              </w:rPr>
              <w:t xml:space="preserve">For each: </w:t>
            </w:r>
            <w:r>
              <w:rPr>
                <w:b/>
                <w:bCs/>
                <w:sz w:val="19"/>
                <w:szCs w:val="19"/>
              </w:rPr>
              <w:t xml:space="preserve">what, why (evidence and lens), how measured, cost and time (labelled as estimates), main risk.</w:t>
            </w:r>
          </w:p>
          <w:p>
            <w:pPr>
              <w:pStyle w:val="ListParagraph"/>
              <w:numPr>
                <w:ilvl w:val="0"/>
                <w:numId w:val="2"/>
              </w:numPr>
              <w:spacing w:after="50" w:line="264"/>
            </w:pPr>
            <w:r>
              <w:rPr>
                <w:sz w:val="19"/>
                <w:szCs w:val="19"/>
              </w:rPr>
              <w:t xml:space="preserve">End with a priority ranking (impact against effort). Detail in Part E.</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Marker wants</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Each action justified by the field visit and the literature; feasibility clear.</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Avoid</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Generic advice ("improve service"); costs with no label saying they are your estimates.</w:t>
            </w:r>
          </w:p>
        </w:tc>
      </w:tr>
    </w:tbl>
    <w:p>
      <w:pPr>
        <w:spacing w:after="20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900"/>
        <w:gridCol w:w="8206"/>
      </w:tblGrid>
      <w:tr>
        <w:trPr>
          <w:cantSplit/>
        </w:trPr>
        <w:tc>
          <w:tcPr>
            <w:tcW w:type="dxa" w:w="10106"/>
            <w:gridSpan w:val="2"/>
            <w:tcBorders>
              <w:top w:val="single" w:color="0F766E" w:sz="4"/>
              <w:left w:val="single" w:color="0F766E" w:sz="4"/>
              <w:bottom w:val="single" w:color="0F766E" w:sz="4"/>
              <w:right w:val="single" w:color="0F766E" w:sz="4"/>
            </w:tcBorders>
            <w:shd w:fill="0F766E" w:color="auto" w:val="clear"/>
            <w:tcMar>
              <w:top w:type="dxa" w:w="80"/>
              <w:left w:type="dxa" w:w="130"/>
              <w:bottom w:type="dxa" w:w="80"/>
              <w:right w:type="dxa" w:w="130"/>
            </w:tcMar>
          </w:tcPr>
          <w:p>
            <w:r>
              <w:rPr>
                <w:b/>
                <w:bCs/>
                <w:color w:val="FFFFFF"/>
                <w:sz w:val="23"/>
                <w:szCs w:val="23"/>
              </w:rPr>
              <w:t xml:space="preserve">Chapter 7. Conclusion (100 words)</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Job</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Answer the aim, name the limits, stop.</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Write</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pStyle w:val="ListParagraph"/>
              <w:numPr>
                <w:ilvl w:val="0"/>
                <w:numId w:val="2"/>
              </w:numPr>
              <w:spacing w:after="50" w:line="264"/>
            </w:pPr>
            <w:r>
              <w:rPr>
                <w:sz w:val="19"/>
                <w:szCs w:val="19"/>
              </w:rPr>
              <w:t xml:space="preserve">Two sentences answering the central question.</w:t>
            </w:r>
          </w:p>
          <w:p>
            <w:pPr>
              <w:pStyle w:val="ListParagraph"/>
              <w:numPr>
                <w:ilvl w:val="0"/>
                <w:numId w:val="2"/>
              </w:numPr>
              <w:spacing w:after="50" w:line="264"/>
            </w:pPr>
            <w:r>
              <w:rPr>
                <w:sz w:val="19"/>
                <w:szCs w:val="19"/>
              </w:rPr>
              <w:t xml:space="preserve">One sentence on limits: one visit, hosted tour, perceptions-based evidence.</w:t>
            </w:r>
          </w:p>
          <w:p>
            <w:pPr>
              <w:pStyle w:val="ListParagraph"/>
              <w:numPr>
                <w:ilvl w:val="0"/>
                <w:numId w:val="2"/>
              </w:numPr>
              <w:spacing w:after="50" w:line="264"/>
            </w:pPr>
            <w:r>
              <w:rPr>
                <w:sz w:val="19"/>
                <w:szCs w:val="19"/>
              </w:rPr>
              <w:t xml:space="preserve">One sentence on what the hotel should do first.</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Avoid</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New sources, new arguments, thanking the hotel.</w:t>
            </w:r>
          </w:p>
        </w:tc>
      </w:tr>
    </w:tbl>
    <w:p>
      <w:pPr>
        <w:pStyle w:val="Heading1"/>
        <w:pageBreakBefore/>
      </w:pPr>
      <w:r>
        <w:t xml:space="preserve">Part C. Six lenses, each with a counter-view</w:t>
      </w:r>
    </w:p>
    <w:p>
      <w:pPr>
        <w:spacing w:after="90" w:before="0" w:line="276"/>
      </w:pPr>
      <w:r>
        <w:rPr>
          <w:sz w:val="21"/>
          <w:szCs w:val="21"/>
        </w:rPr>
        <w:t xml:space="preserve">A harsh marker prefers six well-argued lenses to a dozen name-drops. Each card gives the idea, the critique that earns marks, how it applies here, and a sentence opener.</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900"/>
        <w:gridCol w:w="8206"/>
      </w:tblGrid>
      <w:tr>
        <w:trPr>
          <w:cantSplit/>
        </w:trPr>
        <w:tc>
          <w:tcPr>
            <w:tcW w:type="dxa" w:w="10106"/>
            <w:gridSpan w:val="2"/>
            <w:tcBorders>
              <w:top w:val="single" w:color="0F766E" w:sz="4"/>
              <w:left w:val="single" w:color="0F766E" w:sz="4"/>
              <w:bottom w:val="single" w:color="0F766E" w:sz="4"/>
              <w:right w:val="single" w:color="0F766E" w:sz="4"/>
            </w:tcBorders>
            <w:shd w:fill="0F766E" w:color="auto" w:val="clear"/>
            <w:tcMar>
              <w:top w:type="dxa" w:w="80"/>
              <w:left w:type="dxa" w:w="130"/>
              <w:bottom w:type="dxa" w:w="80"/>
              <w:right w:type="dxa" w:w="130"/>
            </w:tcMar>
          </w:tcPr>
          <w:p>
            <w:r>
              <w:rPr>
                <w:b/>
                <w:bCs/>
                <w:color w:val="FFFFFF"/>
                <w:sz w:val="23"/>
                <w:szCs w:val="23"/>
              </w:rPr>
              <w:t xml:space="preserve">Lens 1. What guests get and how they get it: Grönroos (1984)</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Idea</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Service quality has a technical side (what is delivered: the room, the food) and a functional side (how it is delivered: manner, responsiveness).</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Counter-view</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It is a conceptual model and says little about how to measure either side. Hospitality satisfaction is usually multi-attribute in practice (Pizam and Ellis, 1999).</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Use here</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Staff come out well in reviews (functional strength), while the lift, grille and in-room coffee are technical shortfalls.</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Opener</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"Grönroos (1984) separates outcome from process; read against Pizam and Ellis (1999), the hotel’s strength lies in process, its weakness in outcome details."</w:t>
            </w:r>
          </w:p>
        </w:tc>
      </w:tr>
    </w:tbl>
    <w:p>
      <w:pPr>
        <w:spacing w:after="16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900"/>
        <w:gridCol w:w="8206"/>
      </w:tblGrid>
      <w:tr>
        <w:trPr>
          <w:cantSplit/>
        </w:trPr>
        <w:tc>
          <w:tcPr>
            <w:tcW w:type="dxa" w:w="10106"/>
            <w:gridSpan w:val="2"/>
            <w:tcBorders>
              <w:top w:val="single" w:color="0F766E" w:sz="4"/>
              <w:left w:val="single" w:color="0F766E" w:sz="4"/>
              <w:bottom w:val="single" w:color="0F766E" w:sz="4"/>
              <w:right w:val="single" w:color="0F766E" w:sz="4"/>
            </w:tcBorders>
            <w:shd w:fill="0F766E" w:color="auto" w:val="clear"/>
            <w:tcMar>
              <w:top w:type="dxa" w:w="80"/>
              <w:left w:type="dxa" w:w="130"/>
              <w:bottom w:type="dxa" w:w="80"/>
              <w:right w:type="dxa" w:w="130"/>
            </w:tcMar>
          </w:tcPr>
          <w:p>
            <w:r>
              <w:rPr>
                <w:b/>
                <w:bCs/>
                <w:color w:val="FFFFFF"/>
                <w:sz w:val="23"/>
                <w:szCs w:val="23"/>
              </w:rPr>
              <w:t xml:space="preserve">Lens 2. Must-be, performance and delight: Kano et al. (1984)</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Idea</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Some features are expected (must-be): their absence hurts and their presence goes unnoticed. Others delight (attractive).</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Counter-view</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Categories are normally set by survey and shift over time and by guest type. You are inferring them from reviews and photos, so say so.</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Use here</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A clean lift and grille are must-be. Arado, Spanish cava and the lounge are attractive. Adding delight on top of cracked basics wastes money.</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Opener</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"Kano et al. (1984) imply that fixing must-be faults comes before adding delight, which reorders the hotel’s spending priorities."</w:t>
            </w:r>
          </w:p>
        </w:tc>
      </w:tr>
    </w:tbl>
    <w:p>
      <w:pPr>
        <w:spacing w:after="16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900"/>
        <w:gridCol w:w="8206"/>
      </w:tblGrid>
      <w:tr>
        <w:trPr>
          <w:cantSplit/>
        </w:trPr>
        <w:tc>
          <w:tcPr>
            <w:tcW w:type="dxa" w:w="10106"/>
            <w:gridSpan w:val="2"/>
            <w:tcBorders>
              <w:top w:val="single" w:color="0F766E" w:sz="4"/>
              <w:left w:val="single" w:color="0F766E" w:sz="4"/>
              <w:bottom w:val="single" w:color="0F766E" w:sz="4"/>
              <w:right w:val="single" w:color="0F766E" w:sz="4"/>
            </w:tcBorders>
            <w:shd w:fill="0F766E" w:color="auto" w:val="clear"/>
            <w:tcMar>
              <w:top w:type="dxa" w:w="80"/>
              <w:left w:type="dxa" w:w="130"/>
              <w:bottom w:type="dxa" w:w="80"/>
              <w:right w:type="dxa" w:w="130"/>
            </w:tcMar>
          </w:tcPr>
          <w:p>
            <w:r>
              <w:rPr>
                <w:b/>
                <w:bCs/>
                <w:color w:val="FFFFFF"/>
                <w:sz w:val="23"/>
                <w:szCs w:val="23"/>
              </w:rPr>
              <w:t xml:space="preserve">Lens 3. The setting itself: Turley and Milliman (2000), with Poria et al. (2003)</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Idea</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Physical atmosphere changes behaviour and judgement. For heritage settings, visitors value a personal link with the past.</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Counter-view</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Much of the atmospherics evidence comes from retail. Heritage wear can read as authentic character or as neglect, depending on what the guest paid.</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Use here</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Cornices and oak against a tarnished lift door (Fig. 1) and a dusty grille with patched plaster (Fig. 6).</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Opener</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"Turley and Milliman (2000) treat atmosphere as a driver of behaviour, but their retail evidence ignores heritage patina, which Poria et al. (2003) suggest guests read through personal meaning."</w:t>
            </w:r>
          </w:p>
        </w:tc>
      </w:tr>
    </w:tbl>
    <w:p>
      <w:pPr>
        <w:spacing w:after="16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900"/>
        <w:gridCol w:w="8206"/>
      </w:tblGrid>
      <w:tr>
        <w:trPr>
          <w:cantSplit/>
        </w:trPr>
        <w:tc>
          <w:tcPr>
            <w:tcW w:type="dxa" w:w="10106"/>
            <w:gridSpan w:val="2"/>
            <w:tcBorders>
              <w:top w:val="single" w:color="0F766E" w:sz="4"/>
              <w:left w:val="single" w:color="0F766E" w:sz="4"/>
              <w:bottom w:val="single" w:color="0F766E" w:sz="4"/>
              <w:right w:val="single" w:color="0F766E" w:sz="4"/>
            </w:tcBorders>
            <w:shd w:fill="0F766E" w:color="auto" w:val="clear"/>
            <w:tcMar>
              <w:top w:type="dxa" w:w="80"/>
              <w:left w:type="dxa" w:w="130"/>
              <w:bottom w:type="dxa" w:w="80"/>
              <w:right w:type="dxa" w:w="130"/>
            </w:tcMar>
          </w:tcPr>
          <w:p>
            <w:r>
              <w:rPr>
                <w:b/>
                <w:bCs/>
                <w:color w:val="FFFFFF"/>
                <w:sz w:val="23"/>
                <w:szCs w:val="23"/>
              </w:rPr>
              <w:t xml:space="preserve">Lens 4. Value and fairness: Zeithaml (1988), with Xia et al. (2004) and Kimes (2002)</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Idea</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Value is what a guest feels they get for what they give, and it differs between guests. Price changes are judged for fairness.</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Counter-view</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Perceived value is subjective and hard to compare across guests. Yield pricing is rational for the hotel but can feel unfair (Kimes, 2002).</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Use here</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Rooms quoted at about £300 on the visit and about £117 on booking sites. The same worn lift is character at one price and neglect at the other.</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Opener</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"Zeithaml (1988) places value in the guest’s head; the £117 to £300 spread therefore creates guests with very different yardsticks, which helps explain mixed reviews."</w:t>
            </w:r>
          </w:p>
        </w:tc>
      </w:tr>
    </w:tbl>
    <w:p>
      <w:pPr>
        <w:spacing w:after="16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900"/>
        <w:gridCol w:w="8206"/>
      </w:tblGrid>
      <w:tr>
        <w:trPr>
          <w:cantSplit/>
        </w:trPr>
        <w:tc>
          <w:tcPr>
            <w:tcW w:type="dxa" w:w="10106"/>
            <w:gridSpan w:val="2"/>
            <w:tcBorders>
              <w:top w:val="single" w:color="0F766E" w:sz="4"/>
              <w:left w:val="single" w:color="0F766E" w:sz="4"/>
              <w:bottom w:val="single" w:color="0F766E" w:sz="4"/>
              <w:right w:val="single" w:color="0F766E" w:sz="4"/>
            </w:tcBorders>
            <w:shd w:fill="0F766E" w:color="auto" w:val="clear"/>
            <w:tcMar>
              <w:top w:type="dxa" w:w="80"/>
              <w:left w:type="dxa" w:w="130"/>
              <w:bottom w:type="dxa" w:w="80"/>
              <w:right w:type="dxa" w:w="130"/>
            </w:tcMar>
          </w:tcPr>
          <w:p>
            <w:r>
              <w:rPr>
                <w:b/>
                <w:bCs/>
                <w:color w:val="FFFFFF"/>
                <w:sz w:val="23"/>
                <w:szCs w:val="23"/>
              </w:rPr>
              <w:t xml:space="preserve">Lens 5. Positioning: Kim and Mauborgne (2004) against Treacy and Wiersema (1993)</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Idea</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Kim and Mauborgne: stand out by raising what guests value and cutting what they do not. Treacy and Wiersema: pick one value discipline (operations, customer intimacy or product leadership) and be excellent at it.</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Counter-view</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The two disagree. One rewards bold reinvention, the other warns against trying to lead on everything. Blue-ocean claims also rest on selected success cases.</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Use here</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A strong Mediterranean identity in public spaces, but instant coffee in rooms. A premium, heritage and Spanish-food story is ambitious across all of them.</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Opener</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"Where Kim and Mauborgne (2004) reward distinctiveness, Treacy and Wiersema (1993) would ask which single discipline Meliá White House has chosen to be excellent at."</w:t>
            </w:r>
          </w:p>
        </w:tc>
      </w:tr>
    </w:tbl>
    <w:p>
      <w:pPr>
        <w:spacing w:after="16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900"/>
        <w:gridCol w:w="8206"/>
      </w:tblGrid>
      <w:tr>
        <w:trPr>
          <w:cantSplit/>
        </w:trPr>
        <w:tc>
          <w:tcPr>
            <w:tcW w:type="dxa" w:w="10106"/>
            <w:gridSpan w:val="2"/>
            <w:tcBorders>
              <w:top w:val="single" w:color="0F766E" w:sz="4"/>
              <w:left w:val="single" w:color="0F766E" w:sz="4"/>
              <w:bottom w:val="single" w:color="0F766E" w:sz="4"/>
              <w:right w:val="single" w:color="0F766E" w:sz="4"/>
            </w:tcBorders>
            <w:shd w:fill="0F766E" w:color="auto" w:val="clear"/>
            <w:tcMar>
              <w:top w:type="dxa" w:w="80"/>
              <w:left w:type="dxa" w:w="130"/>
              <w:bottom w:type="dxa" w:w="80"/>
              <w:right w:type="dxa" w:w="130"/>
            </w:tcMar>
          </w:tcPr>
          <w:p>
            <w:r>
              <w:rPr>
                <w:b/>
                <w:bCs/>
                <w:color w:val="FFFFFF"/>
                <w:sz w:val="23"/>
                <w:szCs w:val="23"/>
              </w:rPr>
              <w:t xml:space="preserve">Lens 6. Service recovery: Smith, Bolton and Wagner (1999), with McCollough et al. (2000)</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Idea</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How well a failure is put right shapes satisfaction afterwards. Recovery can restore, and sometimes lift, satisfaction.</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Counter-view</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The "recovery paradox" is not reliable. Repeated failures cancel the benefit (McCollough et al., 2000), so recovery cannot replace reliability.</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Use here</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A review reports breakfast moved offsite after an electrical fault. Was it handled as a recoverable event or a lasting complaint?</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Opener</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"Smith et al. (1999) show recovery can repair satisfaction, yet McCollough et al. (2000) caution that it cannot substitute for getting breakfast right the first time."</w:t>
            </w:r>
          </w:p>
        </w:tc>
      </w:tr>
    </w:tbl>
    <w:p>
      <w:pPr>
        <w:spacing w:after="16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F1F5F9" w:sz="2"/>
              <w:left w:val="single" w:color="1F2A44" w:sz="24"/>
              <w:bottom w:val="single" w:color="F1F5F9" w:sz="2"/>
              <w:right w:val="single" w:color="F1F5F9" w:sz="2"/>
            </w:tcBorders>
            <w:shd w:fill="F1F5F9" w:color="auto" w:val="clear"/>
            <w:tcMar>
              <w:top w:type="dxa" w:w="100"/>
              <w:left w:type="dxa" w:w="180"/>
              <w:bottom w:type="dxa" w:w="100"/>
              <w:right w:type="dxa" w:w="160"/>
            </w:tcMar>
          </w:tcPr>
          <w:p>
            <w:pPr>
              <w:spacing w:after="60"/>
            </w:pPr>
            <w:r>
              <w:rPr>
                <w:b/>
                <w:bCs/>
                <w:color w:val="1F2A44"/>
                <w:sz w:val="20"/>
                <w:szCs w:val="20"/>
              </w:rPr>
              <w:t xml:space="preserve">Reserve lenses (one sentence each, only where they help)</w:t>
            </w:r>
          </w:p>
          <w:p>
            <w:pPr>
              <w:pStyle w:val="ListParagraph"/>
              <w:numPr>
                <w:ilvl w:val="0"/>
                <w:numId w:val="2"/>
              </w:numPr>
              <w:spacing w:after="50" w:line="264"/>
            </w:pPr>
            <w:r>
              <w:rPr>
                <w:b/>
                <w:bCs/>
                <w:sz w:val="19"/>
                <w:szCs w:val="19"/>
              </w:rPr>
              <w:t xml:space="preserve">Experience design:</w:t>
            </w:r>
            <w:r>
              <w:rPr>
                <w:sz w:val="19"/>
                <w:szCs w:val="19"/>
              </w:rPr>
              <w:t xml:space="preserve"> Gentile et al. (2007) on how experience is built from sensory, emotional and practical parts (Chapter 4, Decision 2).</w:t>
            </w:r>
          </w:p>
          <w:p>
            <w:pPr>
              <w:pStyle w:val="ListParagraph"/>
              <w:numPr>
                <w:ilvl w:val="0"/>
                <w:numId w:val="2"/>
              </w:numPr>
              <w:spacing w:after="50" w:line="264"/>
            </w:pPr>
            <w:r>
              <w:rPr>
                <w:b/>
                <w:bCs/>
                <w:sz w:val="19"/>
                <w:szCs w:val="19"/>
              </w:rPr>
              <w:t xml:space="preserve">Journey:</w:t>
            </w:r>
            <w:r>
              <w:rPr>
                <w:sz w:val="19"/>
                <w:szCs w:val="19"/>
              </w:rPr>
              <w:t xml:space="preserve"> Zomerdijk and Voss (2010) on touchpoints (Chapter 5).</w:t>
            </w:r>
          </w:p>
          <w:p>
            <w:pPr>
              <w:pStyle w:val="ListParagraph"/>
              <w:numPr>
                <w:ilvl w:val="0"/>
                <w:numId w:val="2"/>
              </w:numPr>
              <w:spacing w:after="50" w:line="264"/>
            </w:pPr>
            <w:r>
              <w:rPr>
                <w:b/>
                <w:bCs/>
                <w:sz w:val="19"/>
                <w:szCs w:val="19"/>
              </w:rPr>
              <w:t xml:space="preserve">Staff:</w:t>
            </w:r>
            <w:r>
              <w:rPr>
                <w:sz w:val="19"/>
                <w:szCs w:val="19"/>
              </w:rPr>
              <w:t xml:space="preserve"> Schneider and Bowen (1993) (Chapter 5, with a caution).</w:t>
            </w:r>
          </w:p>
          <w:p>
            <w:pPr>
              <w:pStyle w:val="ListParagraph"/>
              <w:numPr>
                <w:ilvl w:val="0"/>
                <w:numId w:val="2"/>
              </w:numPr>
              <w:spacing w:after="50" w:line="264"/>
            </w:pPr>
            <w:r>
              <w:rPr>
                <w:b/>
                <w:bCs/>
                <w:sz w:val="19"/>
                <w:szCs w:val="19"/>
              </w:rPr>
              <w:t xml:space="preserve">Reviews:</w:t>
            </w:r>
            <w:r>
              <w:rPr>
                <w:sz w:val="19"/>
                <w:szCs w:val="19"/>
              </w:rPr>
              <w:t xml:space="preserve"> Litvin et al. (2008) and Sparks and Browning (2011) (Chapter 2 limits).</w:t>
            </w:r>
          </w:p>
          <w:p>
            <w:pPr>
              <w:pStyle w:val="ListParagraph"/>
              <w:numPr>
                <w:ilvl w:val="0"/>
                <w:numId w:val="2"/>
              </w:numPr>
              <w:spacing w:after="50" w:line="264"/>
            </w:pPr>
            <w:r>
              <w:rPr>
                <w:b/>
                <w:bCs/>
                <w:sz w:val="19"/>
                <w:szCs w:val="19"/>
              </w:rPr>
              <w:t xml:space="preserve">Green value:</w:t>
            </w:r>
            <w:r>
              <w:rPr>
                <w:sz w:val="19"/>
                <w:szCs w:val="19"/>
              </w:rPr>
              <w:t xml:space="preserve"> Manaktola and Jauhari (2007) (Chapter 4, Decision 4).</w:t>
            </w:r>
          </w:p>
        </w:tc>
      </w:tr>
    </w:tbl>
    <w:p>
      <w:pPr>
        <w:pStyle w:val="Heading1"/>
        <w:pageBreakBefore/>
      </w:pPr>
      <w:r>
        <w:t xml:space="preserve">Part D. Evidence kit</w:t>
      </w:r>
    </w:p>
    <w:p>
      <w:pPr>
        <w:pStyle w:val="Heading2"/>
        <w:keepNext/>
      </w:pPr>
      <w:r>
        <w:t xml:space="preserve">D1. Source map (Appendix 2)</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2600"/>
        <w:gridCol w:w="2606"/>
      </w:tblGrid>
      <w:tr>
        <w:trPr>
          <w:tblHeader/>
        </w:trPr>
        <w:tc>
          <w:tcPr>
            <w:tcW w:type="dxa" w:w="23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Source</w:t>
            </w:r>
          </w:p>
        </w:tc>
        <w:tc>
          <w:tcPr>
            <w:tcW w:type="dxa" w:w="26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Can prove</w:t>
            </w:r>
          </w:p>
        </w:tc>
        <w:tc>
          <w:tcPr>
            <w:tcW w:type="dxa" w:w="26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Cannot prove</w:t>
            </w:r>
          </w:p>
        </w:tc>
        <w:tc>
          <w:tcPr>
            <w:tcW w:type="dxa" w:w="2606"/>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Handle with</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Visit observation and photos, 9 Sept</w:t>
            </w:r>
          </w:p>
        </w:tc>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What a guest sees in public areas on one day</w:t>
            </w:r>
          </w:p>
        </w:tc>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Typical standards across the year</w:t>
            </w:r>
          </w:p>
        </w:tc>
        <w:tc>
          <w:tcPr>
            <w:tcW w:type="dxa" w:w="26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Say "on the day observed"</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Staff session (rooms from about £300, "more than a hotel")</w:t>
            </w:r>
          </w:p>
        </w:tc>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How staff describe the positioning</w:t>
            </w:r>
          </w:p>
        </w:tc>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Official policy; the session was careers-led and informal</w:t>
            </w:r>
          </w:p>
        </w:tc>
        <w:tc>
          <w:tcPr>
            <w:tcW w:type="dxa" w:w="26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Paraphrase; do not quote as policy</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Camden planning documents</w:t>
            </w:r>
          </w:p>
        </w:tc>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Listing, building form, room count</w:t>
            </w:r>
          </w:p>
        </w:tc>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Current operations; dates may be unclear</w:t>
            </w:r>
          </w:p>
        </w:tc>
        <w:tc>
          <w:tcPr>
            <w:tcW w:type="dxa" w:w="26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Cite date or "n.d."; note the room-count conflict</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Meliá press release (2023)</w:t>
            </w:r>
          </w:p>
        </w:tc>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The promise the brand makes</w:t>
            </w:r>
          </w:p>
        </w:tc>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Whether it is kept</w:t>
            </w:r>
          </w:p>
        </w:tc>
        <w:tc>
          <w:tcPr>
            <w:tcW w:type="dxa" w:w="26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Treat as promotional</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Business Traveller (2024)</w:t>
            </w:r>
          </w:p>
        </w:tc>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Co-working offer and renovation figures from an independent outlet</w:t>
            </w:r>
          </w:p>
        </w:tc>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Uptake or revenue; possible partner input</w:t>
            </w:r>
          </w:p>
        </w:tc>
        <w:tc>
          <w:tcPr>
            <w:tcW w:type="dxa" w:w="26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Cite exact date</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Brand Finance, S&amp;P coverage</w:t>
            </w:r>
          </w:p>
        </w:tc>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Group-level standing</w:t>
            </w:r>
          </w:p>
        </w:tc>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Anything about this hotel</w:t>
            </w:r>
          </w:p>
        </w:tc>
        <w:tc>
          <w:tcPr>
            <w:tcW w:type="dxa" w:w="26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Attribute as claims, not facts</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Reviews (3 platforms)</w:t>
            </w:r>
          </w:p>
        </w:tc>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Guest voice and recurring themes</w:t>
            </w:r>
          </w:p>
        </w:tc>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Representativeness</w:t>
            </w:r>
          </w:p>
        </w:tc>
        <w:tc>
          <w:tcPr>
            <w:tcW w:type="dxa" w:w="26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Indicative sample only (Litvin et al., 2008)</w:t>
            </w:r>
          </w:p>
        </w:tc>
      </w:tr>
    </w:tbl>
    <w:p>
      <w:pPr>
        <w:spacing w:after="160"/>
      </w:pPr>
    </w:p>
    <w:p>
      <w:pPr>
        <w:pStyle w:val="Heading2"/>
        <w:keepNext/>
      </w:pPr>
      <w:r>
        <w:t xml:space="preserve">D2. Photo evidence wall (Figures, placed in Appendix 1)</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1700"/>
        <w:gridCol w:w="2200"/>
        <w:gridCol w:w="2606"/>
      </w:tblGrid>
      <w:tr>
        <w:trPr>
          <w:tblHeader/>
        </w:trPr>
        <w:tc>
          <w:tcPr>
            <w:tcW w:type="dxa" w:w="7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Fig.</w:t>
            </w:r>
          </w:p>
        </w:tc>
        <w:tc>
          <w:tcPr>
            <w:tcW w:type="dxa" w:w="29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Photo</w:t>
            </w:r>
          </w:p>
        </w:tc>
        <w:tc>
          <w:tcPr>
            <w:tcW w:type="dxa" w:w="17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Kano class</w:t>
            </w:r>
          </w:p>
        </w:tc>
        <w:tc>
          <w:tcPr>
            <w:tcW w:type="dxa" w:w="22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Touchpoint</w:t>
            </w:r>
          </w:p>
        </w:tc>
        <w:tc>
          <w:tcPr>
            <w:tcW w:type="dxa" w:w="2606"/>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Verdict</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1</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Lift lobby: black marble, brass door</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Must-be</w:t>
            </w:r>
          </w:p>
        </w:tc>
        <w:tc>
          <w:tcPr>
            <w:tcW w:type="dxa" w:w="2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Arrival</w:t>
            </w:r>
          </w:p>
        </w:tc>
        <w:tc>
          <w:tcPr>
            <w:tcW w:type="dxa" w:w="2606"/>
            <w:tcBorders>
              <w:top w:val="single" w:color="CBD5E1" w:sz="4"/>
              <w:left w:val="single" w:color="CBD5E1" w:sz="4"/>
              <w:bottom w:val="single" w:color="CBD5E1" w:sz="4"/>
              <w:right w:val="single" w:color="CBD5E1" w:sz="4"/>
            </w:tcBorders>
            <w:shd w:fill="FEF3C7" w:color="auto" w:val="clear"/>
            <w:tcMar>
              <w:top w:type="dxa" w:w="70"/>
              <w:left w:type="dxa" w:w="110"/>
              <w:bottom w:type="dxa" w:w="70"/>
              <w:right w:type="dxa" w:w="110"/>
            </w:tcMar>
          </w:tcPr>
          <w:p>
            <w:pPr>
              <w:spacing w:after="50" w:line="252"/>
            </w:pPr>
            <w:r>
              <w:rPr>
                <w:b w:val="false"/>
                <w:bCs w:val="false"/>
                <w:sz w:val="18"/>
                <w:szCs w:val="18"/>
              </w:rPr>
              <w:t xml:space="preserve">Gap: door looks tarnished</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2</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Breakfast buffet counter: lit shelving, linen bags, GMED oils, Real Crisps</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Attractive</w:t>
            </w:r>
          </w:p>
        </w:tc>
        <w:tc>
          <w:tcPr>
            <w:tcW w:type="dxa" w:w="2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Breakfast</w:t>
            </w:r>
          </w:p>
        </w:tc>
        <w:tc>
          <w:tcPr>
            <w:tcW w:type="dxa" w:w="2606"/>
            <w:tcBorders>
              <w:top w:val="single" w:color="CBD5E1" w:sz="4"/>
              <w:left w:val="single" w:color="CBD5E1" w:sz="4"/>
              <w:bottom w:val="single" w:color="CBD5E1" w:sz="4"/>
              <w:right w:val="single" w:color="CBD5E1" w:sz="4"/>
            </w:tcBorders>
            <w:shd w:fill="D1FAE5" w:color="auto" w:val="clear"/>
            <w:tcMar>
              <w:top w:type="dxa" w:w="70"/>
              <w:left w:type="dxa" w:w="110"/>
              <w:bottom w:type="dxa" w:w="70"/>
              <w:right w:type="dxa" w:w="110"/>
            </w:tcMar>
          </w:tcPr>
          <w:p>
            <w:pPr>
              <w:spacing w:after="50" w:line="252"/>
            </w:pPr>
            <w:r>
              <w:rPr>
                <w:b w:val="false"/>
                <w:bCs w:val="false"/>
                <w:sz w:val="18"/>
                <w:szCs w:val="18"/>
              </w:rPr>
              <w:t xml:space="preserve">Strength</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3</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Wine and cava ice buckets</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Attractive</w:t>
            </w:r>
          </w:p>
        </w:tc>
        <w:tc>
          <w:tcPr>
            <w:tcW w:type="dxa" w:w="2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Dining / bar</w:t>
            </w:r>
          </w:p>
        </w:tc>
        <w:tc>
          <w:tcPr>
            <w:tcW w:type="dxa" w:w="2606"/>
            <w:tcBorders>
              <w:top w:val="single" w:color="CBD5E1" w:sz="4"/>
              <w:left w:val="single" w:color="CBD5E1" w:sz="4"/>
              <w:bottom w:val="single" w:color="CBD5E1" w:sz="4"/>
              <w:right w:val="single" w:color="CBD5E1" w:sz="4"/>
            </w:tcBorders>
            <w:shd w:fill="D1FAE5" w:color="auto" w:val="clear"/>
            <w:tcMar>
              <w:top w:type="dxa" w:w="70"/>
              <w:left w:type="dxa" w:w="110"/>
              <w:bottom w:type="dxa" w:w="70"/>
              <w:right w:type="dxa" w:w="110"/>
            </w:tcMar>
          </w:tcPr>
          <w:p>
            <w:pPr>
              <w:spacing w:after="50" w:line="252"/>
            </w:pPr>
            <w:r>
              <w:rPr>
                <w:b w:val="false"/>
                <w:bCs w:val="false"/>
                <w:sz w:val="18"/>
                <w:szCs w:val="18"/>
              </w:rPr>
              <w:t xml:space="preserve">Strength: Spanish provenance, organic cava</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4</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Lounge and communal table</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Attractive</w:t>
            </w:r>
          </w:p>
        </w:tc>
        <w:tc>
          <w:tcPr>
            <w:tcW w:type="dxa" w:w="2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Lounge / The Level</w:t>
            </w:r>
          </w:p>
        </w:tc>
        <w:tc>
          <w:tcPr>
            <w:tcW w:type="dxa" w:w="2606"/>
            <w:tcBorders>
              <w:top w:val="single" w:color="CBD5E1" w:sz="4"/>
              <w:left w:val="single" w:color="CBD5E1" w:sz="4"/>
              <w:bottom w:val="single" w:color="CBD5E1" w:sz="4"/>
              <w:right w:val="single" w:color="CBD5E1" w:sz="4"/>
            </w:tcBorders>
            <w:shd w:fill="D1FAE5" w:color="auto" w:val="clear"/>
            <w:tcMar>
              <w:top w:type="dxa" w:w="70"/>
              <w:left w:type="dxa" w:w="110"/>
              <w:bottom w:type="dxa" w:w="70"/>
              <w:right w:type="dxa" w:w="110"/>
            </w:tcMar>
          </w:tcPr>
          <w:p>
            <w:pPr>
              <w:spacing w:after="50" w:line="252"/>
            </w:pPr>
            <w:r>
              <w:rPr>
                <w:b w:val="false"/>
                <w:bCs w:val="false"/>
                <w:sz w:val="18"/>
                <w:szCs w:val="18"/>
              </w:rPr>
              <w:t xml:space="preserve">Strength: flexible work-and-dine space</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5</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Room tea and coffee with smeared marble</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Must-be and attractive</w:t>
            </w:r>
          </w:p>
        </w:tc>
        <w:tc>
          <w:tcPr>
            <w:tcW w:type="dxa" w:w="2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Room</w:t>
            </w:r>
          </w:p>
        </w:tc>
        <w:tc>
          <w:tcPr>
            <w:tcW w:type="dxa" w:w="2606"/>
            <w:tcBorders>
              <w:top w:val="single" w:color="CBD5E1" w:sz="4"/>
              <w:left w:val="single" w:color="CBD5E1" w:sz="4"/>
              <w:bottom w:val="single" w:color="CBD5E1" w:sz="4"/>
              <w:right w:val="single" w:color="CBD5E1" w:sz="4"/>
            </w:tcBorders>
            <w:shd w:fill="FEF3C7" w:color="auto" w:val="clear"/>
            <w:tcMar>
              <w:top w:type="dxa" w:w="70"/>
              <w:left w:type="dxa" w:w="110"/>
              <w:bottom w:type="dxa" w:w="70"/>
              <w:right w:type="dxa" w:w="110"/>
            </w:tcMar>
          </w:tcPr>
          <w:p>
            <w:pPr>
              <w:spacing w:after="50" w:line="252"/>
            </w:pPr>
            <w:r>
              <w:rPr>
                <w:b w:val="false"/>
                <w:bCs w:val="false"/>
                <w:sz w:val="18"/>
                <w:szCs w:val="18"/>
              </w:rPr>
              <w:t xml:space="preserve">Gap: instant coffee off-brand</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6</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Gym AC grille and cornice</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Must-be</w:t>
            </w:r>
          </w:p>
        </w:tc>
        <w:tc>
          <w:tcPr>
            <w:tcW w:type="dxa" w:w="2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Gym / wellness</w:t>
            </w:r>
          </w:p>
        </w:tc>
        <w:tc>
          <w:tcPr>
            <w:tcW w:type="dxa" w:w="2606"/>
            <w:tcBorders>
              <w:top w:val="single" w:color="CBD5E1" w:sz="4"/>
              <w:left w:val="single" w:color="CBD5E1" w:sz="4"/>
              <w:bottom w:val="single" w:color="CBD5E1" w:sz="4"/>
              <w:right w:val="single" w:color="CBD5E1" w:sz="4"/>
            </w:tcBorders>
            <w:shd w:fill="FEF3C7" w:color="auto" w:val="clear"/>
            <w:tcMar>
              <w:top w:type="dxa" w:w="70"/>
              <w:left w:type="dxa" w:w="110"/>
              <w:bottom w:type="dxa" w:w="70"/>
              <w:right w:type="dxa" w:w="110"/>
            </w:tcMar>
          </w:tcPr>
          <w:p>
            <w:pPr>
              <w:spacing w:after="50" w:line="252"/>
            </w:pPr>
            <w:r>
              <w:rPr>
                <w:b w:val="false"/>
                <w:bCs w:val="false"/>
                <w:sz w:val="18"/>
                <w:szCs w:val="18"/>
              </w:rPr>
              <w:t xml:space="preserve">Gap: dusty grille, patched plaster</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7</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Corridor with linen cart</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Must-be</w:t>
            </w:r>
          </w:p>
        </w:tc>
        <w:tc>
          <w:tcPr>
            <w:tcW w:type="dxa" w:w="2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Corridor</w:t>
            </w:r>
          </w:p>
        </w:tc>
        <w:tc>
          <w:tcPr>
            <w:tcW w:type="dxa" w:w="2606"/>
            <w:tcBorders>
              <w:top w:val="single" w:color="CBD5E1" w:sz="4"/>
              <w:left w:val="single" w:color="CBD5E1" w:sz="4"/>
              <w:bottom w:val="single" w:color="CBD5E1" w:sz="4"/>
              <w:right w:val="single" w:color="CBD5E1" w:sz="4"/>
            </w:tcBorders>
            <w:shd w:fill="FEF3C7" w:color="auto" w:val="clear"/>
            <w:tcMar>
              <w:top w:type="dxa" w:w="70"/>
              <w:left w:type="dxa" w:w="110"/>
              <w:bottom w:type="dxa" w:w="70"/>
              <w:right w:type="dxa" w:w="110"/>
            </w:tcMar>
          </w:tcPr>
          <w:p>
            <w:pPr>
              <w:spacing w:after="50" w:line="252"/>
            </w:pPr>
            <w:r>
              <w:rPr>
                <w:b w:val="false"/>
                <w:bCs w:val="false"/>
                <w:sz w:val="18"/>
                <w:szCs w:val="18"/>
              </w:rPr>
              <w:t xml:space="preserve">Minor gap: back-of-house visible</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8</w:t>
            </w:r>
          </w:p>
        </w:tc>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35 Bar and Lounge</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Attractive</w:t>
            </w:r>
          </w:p>
        </w:tc>
        <w:tc>
          <w:tcPr>
            <w:tcW w:type="dxa" w:w="2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Bar</w:t>
            </w:r>
          </w:p>
        </w:tc>
        <w:tc>
          <w:tcPr>
            <w:tcW w:type="dxa" w:w="2606"/>
            <w:tcBorders>
              <w:top w:val="single" w:color="CBD5E1" w:sz="4"/>
              <w:left w:val="single" w:color="CBD5E1" w:sz="4"/>
              <w:bottom w:val="single" w:color="CBD5E1" w:sz="4"/>
              <w:right w:val="single" w:color="CBD5E1" w:sz="4"/>
            </w:tcBorders>
            <w:shd w:fill="D1FAE5" w:color="auto" w:val="clear"/>
            <w:tcMar>
              <w:top w:type="dxa" w:w="70"/>
              <w:left w:type="dxa" w:w="110"/>
              <w:bottom w:type="dxa" w:w="70"/>
              <w:right w:type="dxa" w:w="110"/>
            </w:tcMar>
          </w:tcPr>
          <w:p>
            <w:pPr>
              <w:spacing w:after="50" w:line="252"/>
            </w:pPr>
            <w:r>
              <w:rPr>
                <w:b w:val="false"/>
                <w:bCs w:val="false"/>
                <w:sz w:val="18"/>
                <w:szCs w:val="18"/>
              </w:rPr>
              <w:t xml:space="preserve">Strength; usage unknown</w:t>
            </w:r>
          </w:p>
        </w:tc>
      </w:tr>
    </w:tbl>
    <w:p>
      <w:pPr>
        <w:spacing w:after="90" w:before="80" w:line="276"/>
      </w:pPr>
      <w:r>
        <w:rPr>
          <w:sz w:val="18"/>
          <w:szCs w:val="18"/>
        </w:rPr>
        <w:t xml:space="preserve">Caption format for the appendix: </w:t>
      </w:r>
      <w:r>
        <w:rPr>
          <w:i/>
          <w:iCs/>
          <w:sz w:val="18"/>
          <w:szCs w:val="18"/>
        </w:rPr>
        <w:t xml:space="preserve">Figure 1. Lift lobby, Meliá White House, taken by the author, 9 September 2025.</w:t>
      </w:r>
      <w:r>
        <w:rPr>
          <w:sz w:val="18"/>
          <w:szCs w:val="18"/>
        </w:rPr>
        <w:t xml:space="preserve"> Cite each figure in the text before it appears.</w:t>
      </w:r>
    </w:p>
    <w:p>
      <w:pPr>
        <w:spacing w:after="120"/>
      </w:pPr>
    </w:p>
    <w:p>
      <w:pPr>
        <w:pStyle w:val="Heading2"/>
        <w:keepNext/>
      </w:pPr>
      <w:r>
        <w:t xml:space="preserve">D3. Fact check (Appendix 3)</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5100"/>
        <w:gridCol w:w="3200"/>
        <w:gridCol w:w="1806"/>
      </w:tblGrid>
      <w:tr>
        <w:trPr>
          <w:tblHeader/>
        </w:trPr>
        <w:tc>
          <w:tcPr>
            <w:tcW w:type="dxa" w:w="51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Fact</w:t>
            </w:r>
          </w:p>
        </w:tc>
        <w:tc>
          <w:tcPr>
            <w:tcW w:type="dxa" w:w="32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Source</w:t>
            </w:r>
          </w:p>
        </w:tc>
        <w:tc>
          <w:tcPr>
            <w:tcW w:type="dxa" w:w="1806"/>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Done</w:t>
            </w:r>
          </w:p>
        </w:tc>
      </w:tr>
      <w:tr>
        <w:trPr>
          <w:cantSplit/>
        </w:trPr>
        <w:tc>
          <w:tcPr>
            <w:tcW w:type="dxa" w:w="5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8"/>
                <w:szCs w:val="18"/>
              </w:rPr>
              <w:t xml:space="preserve">£40m renovation, completed April 2023, over five years</w:t>
            </w:r>
          </w:p>
        </w:tc>
        <w:tc>
          <w:tcPr>
            <w:tcW w:type="dxa" w:w="3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Business Traveller (2024)</w:t>
            </w:r>
          </w:p>
        </w:tc>
        <w:tc>
          <w:tcPr>
            <w:tcW w:type="dxa" w:w="18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w:t>
            </w:r>
          </w:p>
        </w:tc>
      </w:tr>
      <w:tr>
        <w:trPr>
          <w:cantSplit/>
        </w:trPr>
        <w:tc>
          <w:tcPr>
            <w:tcW w:type="dxa" w:w="5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8"/>
                <w:szCs w:val="18"/>
              </w:rPr>
              <w:t xml:space="preserve">Co-working: ten workspaces from £40 a day; 10% off at Arado and 35 Bar</w:t>
            </w:r>
          </w:p>
        </w:tc>
        <w:tc>
          <w:tcPr>
            <w:tcW w:type="dxa" w:w="3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Business Traveller (2024)</w:t>
            </w:r>
          </w:p>
        </w:tc>
        <w:tc>
          <w:tcPr>
            <w:tcW w:type="dxa" w:w="18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w:t>
            </w:r>
          </w:p>
        </w:tc>
      </w:tr>
      <w:tr>
        <w:trPr>
          <w:cantSplit/>
        </w:trPr>
        <w:tc>
          <w:tcPr>
            <w:tcW w:type="dxa" w:w="5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8"/>
                <w:szCs w:val="18"/>
              </w:rPr>
              <w:t xml:space="preserve">Grade II listed, nine-storey, star-shaped building</w:t>
            </w:r>
          </w:p>
        </w:tc>
        <w:tc>
          <w:tcPr>
            <w:tcW w:type="dxa" w:w="3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Camden documents (cross-check with Historic England listing)</w:t>
            </w:r>
          </w:p>
        </w:tc>
        <w:tc>
          <w:tcPr>
            <w:tcW w:type="dxa" w:w="18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w:t>
            </w:r>
          </w:p>
        </w:tc>
      </w:tr>
      <w:tr>
        <w:trPr>
          <w:cantSplit/>
        </w:trPr>
        <w:tc>
          <w:tcPr>
            <w:tcW w:type="dxa" w:w="5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8"/>
                <w:szCs w:val="18"/>
              </w:rPr>
              <w:t xml:space="preserve">Room count: 548 or 581</w:t>
            </w:r>
          </w:p>
        </w:tc>
        <w:tc>
          <w:tcPr>
            <w:tcW w:type="dxa" w:w="3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Camden against the 2023 press release. The sources conflict: report both and name each</w:t>
            </w:r>
          </w:p>
        </w:tc>
        <w:tc>
          <w:tcPr>
            <w:tcW w:type="dxa" w:w="18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w:t>
            </w:r>
          </w:p>
        </w:tc>
      </w:tr>
      <w:tr>
        <w:trPr>
          <w:cantSplit/>
        </w:trPr>
        <w:tc>
          <w:tcPr>
            <w:tcW w:type="dxa" w:w="5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8"/>
                <w:szCs w:val="18"/>
              </w:rPr>
              <w:t xml:space="preserve">Premium and luxury about 65% of Meliá’s portfolio</w:t>
            </w:r>
          </w:p>
        </w:tc>
        <w:tc>
          <w:tcPr>
            <w:tcW w:type="dxa" w:w="3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Journal des Palaces (2026) on Brand Finance. A ranking source, not an audit</w:t>
            </w:r>
          </w:p>
        </w:tc>
        <w:tc>
          <w:tcPr>
            <w:tcW w:type="dxa" w:w="18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w:t>
            </w:r>
          </w:p>
        </w:tc>
      </w:tr>
      <w:tr>
        <w:trPr>
          <w:cantSplit/>
        </w:trPr>
        <w:tc>
          <w:tcPr>
            <w:tcW w:type="dxa" w:w="5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8"/>
                <w:szCs w:val="18"/>
              </w:rPr>
              <w:t xml:space="preserve">Group sustainability standing</w:t>
            </w:r>
          </w:p>
        </w:tc>
        <w:tc>
          <w:tcPr>
            <w:tcW w:type="dxa" w:w="3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Breaking Travel News (2026) on S&amp;P Global yearbook. Corporate claim</w:t>
            </w:r>
          </w:p>
        </w:tc>
        <w:tc>
          <w:tcPr>
            <w:tcW w:type="dxa" w:w="18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w:t>
            </w:r>
          </w:p>
        </w:tc>
      </w:tr>
      <w:tr>
        <w:trPr>
          <w:cantSplit/>
        </w:trPr>
        <w:tc>
          <w:tcPr>
            <w:tcW w:type="dxa" w:w="5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8"/>
                <w:szCs w:val="18"/>
              </w:rPr>
              <w:t xml:space="preserve">Visit date and year</w:t>
            </w:r>
          </w:p>
        </w:tc>
        <w:tc>
          <w:tcPr>
            <w:tcW w:type="dxa" w:w="3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Your own notes</w:t>
            </w:r>
          </w:p>
        </w:tc>
        <w:tc>
          <w:tcPr>
            <w:tcW w:type="dxa" w:w="18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w:t>
            </w:r>
          </w:p>
        </w:tc>
      </w:tr>
    </w:tbl>
    <w:p>
      <w:pPr>
        <w:spacing w:after="160"/>
      </w:pPr>
    </w:p>
    <w:p>
      <w:pPr>
        <w:pStyle w:val="Heading2"/>
        <w:keepNext/>
      </w:pPr>
      <w:r>
        <w:t xml:space="preserve">D4. Review sample (Appendix 4)</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E6F4F1" w:sz="2"/>
              <w:left w:val="single" w:color="0F766E" w:sz="24"/>
              <w:bottom w:val="single" w:color="E6F4F1" w:sz="2"/>
              <w:right w:val="single" w:color="E6F4F1" w:sz="2"/>
            </w:tcBorders>
            <w:shd w:fill="E6F4F1" w:color="auto" w:val="clear"/>
            <w:tcMar>
              <w:top w:type="dxa" w:w="100"/>
              <w:left w:type="dxa" w:w="180"/>
              <w:bottom w:type="dxa" w:w="100"/>
              <w:right w:type="dxa" w:w="160"/>
            </w:tcMar>
          </w:tcPr>
          <w:p>
            <w:pPr>
              <w:spacing w:after="60"/>
            </w:pPr>
            <w:r>
              <w:rPr>
                <w:b/>
                <w:bCs/>
                <w:color w:val="0F766E"/>
                <w:sz w:val="20"/>
                <w:szCs w:val="20"/>
              </w:rPr>
              <w:t xml:space="preserve">Sampling protocol (designed to reduce cherry-picking)</w:t>
            </w:r>
          </w:p>
          <w:p>
            <w:pPr>
              <w:pStyle w:val="ListParagraph"/>
              <w:numPr>
                <w:ilvl w:val="0"/>
                <w:numId w:val="2"/>
              </w:numPr>
              <w:spacing w:after="50" w:line="264"/>
            </w:pPr>
            <w:r>
              <w:rPr>
                <w:sz w:val="19"/>
                <w:szCs w:val="19"/>
              </w:rPr>
              <w:t xml:space="preserve">36 reviews from the last 12 months: 12 from TripAdvisor, 12 from Google, 12 from one booking site.</w:t>
            </w:r>
          </w:p>
          <w:p>
            <w:pPr>
              <w:pStyle w:val="ListParagraph"/>
              <w:numPr>
                <w:ilvl w:val="0"/>
                <w:numId w:val="2"/>
              </w:numPr>
              <w:spacing w:after="50" w:line="264"/>
            </w:pPr>
            <w:r>
              <w:rPr>
                <w:sz w:val="19"/>
                <w:szCs w:val="19"/>
              </w:rPr>
              <w:t xml:space="preserve">On each platform take 4 positive (4 to 5 stars), 4 mixed (3 stars) and 4 negative (1 to 2 stars). If a platform has too few of one type, say so.</w:t>
            </w:r>
          </w:p>
          <w:p>
            <w:pPr>
              <w:pStyle w:val="ListParagraph"/>
              <w:numPr>
                <w:ilvl w:val="0"/>
                <w:numId w:val="2"/>
              </w:numPr>
              <w:spacing w:after="50" w:line="264"/>
            </w:pPr>
            <w:r>
              <w:rPr>
                <w:sz w:val="19"/>
                <w:szCs w:val="19"/>
              </w:rPr>
              <w:t xml:space="preserve">Code each review once per touchpoint it mentions as positive (+) or negative (−), then tag the Kano type of what it mentions.</w:t>
            </w:r>
          </w:p>
          <w:p>
            <w:pPr>
              <w:pStyle w:val="ListParagraph"/>
              <w:numPr>
                <w:ilvl w:val="0"/>
                <w:numId w:val="2"/>
              </w:numPr>
              <w:spacing w:after="50" w:line="264"/>
            </w:pPr>
            <w:r>
              <w:rPr>
                <w:sz w:val="19"/>
                <w:szCs w:val="19"/>
              </w:rPr>
              <w:t xml:space="preserve">Keep a plain spreadsheet with platform, month, rating and your code. Paraphrase; do not copy reviewer text.</w:t>
            </w:r>
          </w:p>
          <w:p>
            <w:pPr>
              <w:pStyle w:val="ListParagraph"/>
              <w:numPr>
                <w:ilvl w:val="0"/>
                <w:numId w:val="2"/>
              </w:numPr>
              <w:spacing w:after="50" w:line="264"/>
            </w:pPr>
            <w:r>
              <w:rPr>
                <w:sz w:val="19"/>
                <w:szCs w:val="19"/>
              </w:rPr>
              <w:t xml:space="preserve">Caveat in the text: indicative sample, not representative (Litvin et al., 2008; Sparks and Browning, 2011).</w:t>
            </w:r>
          </w:p>
        </w:tc>
      </w:tr>
    </w:tbl>
    <w:p>
      <w:pPr>
        <w:spacing w:after="10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900"/>
        <w:gridCol w:w="1500"/>
        <w:gridCol w:w="4306"/>
      </w:tblGrid>
      <w:tr>
        <w:trPr>
          <w:tblHeader/>
        </w:trPr>
        <w:tc>
          <w:tcPr>
            <w:tcW w:type="dxa" w:w="25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Touchpoint</w:t>
            </w:r>
          </w:p>
        </w:tc>
        <w:tc>
          <w:tcPr>
            <w:tcW w:type="dxa" w:w="9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w:t>
            </w:r>
          </w:p>
        </w:tc>
        <w:tc>
          <w:tcPr>
            <w:tcW w:type="dxa" w:w="9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w:t>
            </w:r>
          </w:p>
        </w:tc>
        <w:tc>
          <w:tcPr>
            <w:tcW w:type="dxa" w:w="15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Kano type</w:t>
            </w:r>
          </w:p>
        </w:tc>
        <w:tc>
          <w:tcPr>
            <w:tcW w:type="dxa" w:w="4306"/>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Example (paraphrase, platform, month)</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Arrival and lobby</w:t>
            </w:r>
          </w:p>
        </w:tc>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p>
        </w:tc>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p>
        </w:tc>
        <w:tc>
          <w:tcPr>
            <w:tcW w:type="dxa" w:w="43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Room and bathroom</w:t>
            </w:r>
          </w:p>
        </w:tc>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p>
        </w:tc>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p>
        </w:tc>
        <w:tc>
          <w:tcPr>
            <w:tcW w:type="dxa" w:w="43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Breakfast</w:t>
            </w:r>
          </w:p>
        </w:tc>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p>
        </w:tc>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p>
        </w:tc>
        <w:tc>
          <w:tcPr>
            <w:tcW w:type="dxa" w:w="43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35 Bar, lounge, The Level</w:t>
            </w:r>
          </w:p>
        </w:tc>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p>
        </w:tc>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p>
        </w:tc>
        <w:tc>
          <w:tcPr>
            <w:tcW w:type="dxa" w:w="43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Staff and recovery</w:t>
            </w:r>
          </w:p>
        </w:tc>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p>
        </w:tc>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p>
        </w:tc>
        <w:tc>
          <w:tcPr>
            <w:tcW w:type="dxa" w:w="43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Price and value</w:t>
            </w:r>
          </w:p>
        </w:tc>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p>
        </w:tc>
        <w:tc>
          <w:tcPr>
            <w:tcW w:type="dxa" w:w="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p>
        </w:tc>
        <w:tc>
          <w:tcPr>
            <w:tcW w:type="dxa" w:w="43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p>
        </w:tc>
      </w:tr>
    </w:tbl>
    <w:p>
      <w:pPr>
        <w:spacing w:after="90" w:before="80" w:line="276"/>
      </w:pPr>
      <w:r>
        <w:rPr>
          <w:sz w:val="18"/>
          <w:szCs w:val="18"/>
        </w:rPr>
        <w:t xml:space="preserve">Chart: a stacked bar per touchpoint (+ against −). Add one line in Chapter 5 on what the chart shows and what it cannot show.</w:t>
      </w:r>
    </w:p>
    <w:p>
      <w:pPr>
        <w:spacing w:after="120"/>
      </w:pPr>
    </w:p>
    <w:p>
      <w:pPr>
        <w:pStyle w:val="Heading2"/>
        <w:keepNext/>
      </w:pPr>
      <w:r>
        <w:t xml:space="preserve">D5. Promise-versus-proof ledger (Appendix 5)</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300"/>
        <w:gridCol w:w="2800"/>
        <w:gridCol w:w="1100"/>
        <w:gridCol w:w="1700"/>
        <w:gridCol w:w="2206"/>
      </w:tblGrid>
      <w:tr>
        <w:trPr>
          <w:tblHeader/>
        </w:trPr>
        <w:tc>
          <w:tcPr>
            <w:tcW w:type="dxa" w:w="23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Promise</w:t>
            </w:r>
          </w:p>
        </w:tc>
        <w:tc>
          <w:tcPr>
            <w:tcW w:type="dxa" w:w="28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Proof seen</w:t>
            </w:r>
          </w:p>
        </w:tc>
        <w:tc>
          <w:tcPr>
            <w:tcW w:type="dxa" w:w="11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Status</w:t>
            </w:r>
          </w:p>
        </w:tc>
        <w:tc>
          <w:tcPr>
            <w:tcW w:type="dxa" w:w="17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Type</w:t>
            </w:r>
          </w:p>
        </w:tc>
        <w:tc>
          <w:tcPr>
            <w:tcW w:type="dxa" w:w="2206"/>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Evidence</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Premium, "exceeds expectations" (press release)</w:t>
            </w:r>
          </w:p>
        </w:tc>
        <w:tc>
          <w:tcPr>
            <w:tcW w:type="dxa" w:w="2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Tarnished lift door, dusty grille</w:t>
            </w:r>
          </w:p>
        </w:tc>
        <w:tc>
          <w:tcPr>
            <w:tcW w:type="dxa" w:w="1100"/>
            <w:tcBorders>
              <w:top w:val="single" w:color="CBD5E1" w:sz="4"/>
              <w:left w:val="single" w:color="CBD5E1" w:sz="4"/>
              <w:bottom w:val="single" w:color="CBD5E1" w:sz="4"/>
              <w:right w:val="single" w:color="CBD5E1" w:sz="4"/>
            </w:tcBorders>
            <w:shd w:fill="FEF3C7" w:color="auto" w:val="clear"/>
            <w:tcMar>
              <w:top w:type="dxa" w:w="70"/>
              <w:left w:type="dxa" w:w="110"/>
              <w:bottom w:type="dxa" w:w="70"/>
              <w:right w:type="dxa" w:w="110"/>
            </w:tcMar>
          </w:tcPr>
          <w:p>
            <w:pPr>
              <w:spacing w:after="50" w:line="252"/>
            </w:pPr>
            <w:r>
              <w:rPr>
                <w:b w:val="false"/>
                <w:bCs w:val="false"/>
                <w:sz w:val="18"/>
                <w:szCs w:val="18"/>
              </w:rPr>
              <w:t xml:space="preserve">Amber</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Technical quality</w:t>
            </w:r>
          </w:p>
        </w:tc>
        <w:tc>
          <w:tcPr>
            <w:tcW w:type="dxa" w:w="2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Figs. 1, 6; fault reviews</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Mediterranean F&amp;B identity</w:t>
            </w:r>
          </w:p>
        </w:tc>
        <w:tc>
          <w:tcPr>
            <w:tcW w:type="dxa" w:w="2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Strong in Arado and bar; instant coffee in room</w:t>
            </w:r>
          </w:p>
        </w:tc>
        <w:tc>
          <w:tcPr>
            <w:tcW w:type="dxa" w:w="1100"/>
            <w:tcBorders>
              <w:top w:val="single" w:color="CBD5E1" w:sz="4"/>
              <w:left w:val="single" w:color="CBD5E1" w:sz="4"/>
              <w:bottom w:val="single" w:color="CBD5E1" w:sz="4"/>
              <w:right w:val="single" w:color="CBD5E1" w:sz="4"/>
            </w:tcBorders>
            <w:shd w:fill="FEF3C7" w:color="auto" w:val="clear"/>
            <w:tcMar>
              <w:top w:type="dxa" w:w="70"/>
              <w:left w:type="dxa" w:w="110"/>
              <w:bottom w:type="dxa" w:w="70"/>
              <w:right w:type="dxa" w:w="110"/>
            </w:tcMar>
          </w:tcPr>
          <w:p>
            <w:pPr>
              <w:spacing w:after="50" w:line="252"/>
            </w:pPr>
            <w:r>
              <w:rPr>
                <w:b w:val="false"/>
                <w:bCs w:val="false"/>
                <w:sz w:val="18"/>
                <w:szCs w:val="18"/>
              </w:rPr>
              <w:t xml:space="preserve">Amber</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Consistency</w:t>
            </w:r>
          </w:p>
        </w:tc>
        <w:tc>
          <w:tcPr>
            <w:tcW w:type="dxa" w:w="2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Figs. 2, 3, 5</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Consistent Meliá standard at breakfast</w:t>
            </w:r>
          </w:p>
        </w:tc>
        <w:tc>
          <w:tcPr>
            <w:tcW w:type="dxa" w:w="2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Breakfast moved offsite after an electrical fault (one review)</w:t>
            </w:r>
          </w:p>
        </w:tc>
        <w:tc>
          <w:tcPr>
            <w:tcW w:type="dxa" w:w="1100"/>
            <w:tcBorders>
              <w:top w:val="single" w:color="CBD5E1" w:sz="4"/>
              <w:left w:val="single" w:color="CBD5E1" w:sz="4"/>
              <w:bottom w:val="single" w:color="CBD5E1" w:sz="4"/>
              <w:right w:val="single" w:color="CBD5E1" w:sz="4"/>
            </w:tcBorders>
            <w:shd w:fill="FEE2E2" w:color="auto" w:val="clear"/>
            <w:tcMar>
              <w:top w:type="dxa" w:w="70"/>
              <w:left w:type="dxa" w:w="110"/>
              <w:bottom w:type="dxa" w:w="70"/>
              <w:right w:type="dxa" w:w="110"/>
            </w:tcMar>
          </w:tcPr>
          <w:p>
            <w:pPr>
              <w:spacing w:after="50" w:line="252"/>
            </w:pPr>
            <w:r>
              <w:rPr>
                <w:b w:val="false"/>
                <w:bCs w:val="false"/>
                <w:sz w:val="18"/>
                <w:szCs w:val="18"/>
              </w:rPr>
              <w:t xml:space="preserve">Red</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Functional (recovery)</w:t>
            </w:r>
          </w:p>
        </w:tc>
        <w:tc>
          <w:tcPr>
            <w:tcW w:type="dxa" w:w="2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Review</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Heritage as an asset</w:t>
            </w:r>
          </w:p>
        </w:tc>
        <w:tc>
          <w:tcPr>
            <w:tcW w:type="dxa" w:w="2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Cornices, oak; patched plaster</w:t>
            </w:r>
          </w:p>
        </w:tc>
        <w:tc>
          <w:tcPr>
            <w:tcW w:type="dxa" w:w="1100"/>
            <w:tcBorders>
              <w:top w:val="single" w:color="CBD5E1" w:sz="4"/>
              <w:left w:val="single" w:color="CBD5E1" w:sz="4"/>
              <w:bottom w:val="single" w:color="CBD5E1" w:sz="4"/>
              <w:right w:val="single" w:color="CBD5E1" w:sz="4"/>
            </w:tcBorders>
            <w:shd w:fill="FEF3C7" w:color="auto" w:val="clear"/>
            <w:tcMar>
              <w:top w:type="dxa" w:w="70"/>
              <w:left w:type="dxa" w:w="110"/>
              <w:bottom w:type="dxa" w:w="70"/>
              <w:right w:type="dxa" w:w="110"/>
            </w:tcMar>
          </w:tcPr>
          <w:p>
            <w:pPr>
              <w:spacing w:after="50" w:line="252"/>
            </w:pPr>
            <w:r>
              <w:rPr>
                <w:b w:val="false"/>
                <w:bCs w:val="false"/>
                <w:sz w:val="18"/>
                <w:szCs w:val="18"/>
              </w:rPr>
              <w:t xml:space="preserve">Amber</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Setting</w:t>
            </w:r>
          </w:p>
        </w:tc>
        <w:tc>
          <w:tcPr>
            <w:tcW w:type="dxa" w:w="2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Figs. 1, 6</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A place to work and dine</w:t>
            </w:r>
          </w:p>
        </w:tc>
        <w:tc>
          <w:tcPr>
            <w:tcW w:type="dxa" w:w="2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Lounge and communal table; £40 day pass</w:t>
            </w:r>
          </w:p>
        </w:tc>
        <w:tc>
          <w:tcPr>
            <w:tcW w:type="dxa" w:w="1100"/>
            <w:tcBorders>
              <w:top w:val="single" w:color="CBD5E1" w:sz="4"/>
              <w:left w:val="single" w:color="CBD5E1" w:sz="4"/>
              <w:bottom w:val="single" w:color="CBD5E1" w:sz="4"/>
              <w:right w:val="single" w:color="CBD5E1" w:sz="4"/>
            </w:tcBorders>
            <w:shd w:fill="D1FAE5" w:color="auto" w:val="clear"/>
            <w:tcMar>
              <w:top w:type="dxa" w:w="70"/>
              <w:left w:type="dxa" w:w="110"/>
              <w:bottom w:type="dxa" w:w="70"/>
              <w:right w:type="dxa" w:w="110"/>
            </w:tcMar>
          </w:tcPr>
          <w:p>
            <w:pPr>
              <w:spacing w:after="50" w:line="252"/>
            </w:pPr>
            <w:r>
              <w:rPr>
                <w:b w:val="false"/>
                <w:bCs w:val="false"/>
                <w:sz w:val="18"/>
                <w:szCs w:val="18"/>
              </w:rPr>
              <w:t xml:space="preserve">Green</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Enterprise</w:t>
            </w:r>
          </w:p>
        </w:tc>
        <w:tc>
          <w:tcPr>
            <w:tcW w:type="dxa" w:w="2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Fig. 4; Business Traveller (2024)</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Strong breakfast</w:t>
            </w:r>
          </w:p>
        </w:tc>
        <w:tc>
          <w:tcPr>
            <w:tcW w:type="dxa" w:w="2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Mostly praised; one disappointed review</w:t>
            </w:r>
          </w:p>
        </w:tc>
        <w:tc>
          <w:tcPr>
            <w:tcW w:type="dxa" w:w="1100"/>
            <w:tcBorders>
              <w:top w:val="single" w:color="CBD5E1" w:sz="4"/>
              <w:left w:val="single" w:color="CBD5E1" w:sz="4"/>
              <w:bottom w:val="single" w:color="CBD5E1" w:sz="4"/>
              <w:right w:val="single" w:color="CBD5E1" w:sz="4"/>
            </w:tcBorders>
            <w:shd w:fill="D1FAE5" w:color="auto" w:val="clear"/>
            <w:tcMar>
              <w:top w:type="dxa" w:w="70"/>
              <w:left w:type="dxa" w:w="110"/>
              <w:bottom w:type="dxa" w:w="70"/>
              <w:right w:type="dxa" w:w="110"/>
            </w:tcMar>
          </w:tcPr>
          <w:p>
            <w:pPr>
              <w:spacing w:after="50" w:line="252"/>
            </w:pPr>
            <w:r>
              <w:rPr>
                <w:b w:val="false"/>
                <w:bCs w:val="false"/>
                <w:sz w:val="18"/>
                <w:szCs w:val="18"/>
              </w:rPr>
              <w:t xml:space="preserve">Green (mixed)</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Technical quality</w:t>
            </w:r>
          </w:p>
        </w:tc>
        <w:tc>
          <w:tcPr>
            <w:tcW w:type="dxa" w:w="2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Reviews</w:t>
            </w:r>
          </w:p>
        </w:tc>
      </w:tr>
    </w:tbl>
    <w:p>
      <w:pPr>
        <w:pStyle w:val="Heading1"/>
        <w:pageBreakBefore/>
      </w:pPr>
      <w:r>
        <w:t xml:space="preserve">Part E. Recommendations</w:t>
      </w:r>
    </w:p>
    <w:p>
      <w:pPr>
        <w:spacing w:after="90" w:before="0" w:line="276"/>
      </w:pPr>
      <w:r>
        <w:rPr>
          <w:sz w:val="21"/>
          <w:szCs w:val="21"/>
        </w:rPr>
        <w:t xml:space="preserve">All costs and timings are your own estimates, so label them "estimate" in the report. Each recommendation has a what, a why and a how-measured line.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900"/>
        <w:gridCol w:w="8206"/>
      </w:tblGrid>
      <w:tr>
        <w:trPr>
          <w:cantSplit/>
        </w:trPr>
        <w:tc>
          <w:tcPr>
            <w:tcW w:type="dxa" w:w="10106"/>
            <w:gridSpan w:val="2"/>
            <w:tcBorders>
              <w:top w:val="single" w:color="0F766E" w:sz="4"/>
              <w:left w:val="single" w:color="0F766E" w:sz="4"/>
              <w:bottom w:val="single" w:color="0F766E" w:sz="4"/>
              <w:right w:val="single" w:color="0F766E" w:sz="4"/>
            </w:tcBorders>
            <w:shd w:fill="0F766E" w:color="auto" w:val="clear"/>
            <w:tcMar>
              <w:top w:type="dxa" w:w="80"/>
              <w:left w:type="dxa" w:w="130"/>
              <w:bottom w:type="dxa" w:w="80"/>
              <w:right w:type="dxa" w:w="130"/>
            </w:tcMar>
          </w:tcPr>
          <w:p>
            <w:r>
              <w:rPr>
                <w:b/>
                <w:bCs/>
                <w:color w:val="FFFFFF"/>
                <w:sz w:val="23"/>
                <w:szCs w:val="23"/>
              </w:rPr>
              <w:t xml:space="preserve">R1. Must-be sweep and weekly guest-eyes walk</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What</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A one-off 30-day sweep of lifts, grilles, corridors and room details, then a weekly 15-minute walk by a manager using a short checklist. Check linen cart timing in corridors.</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Why</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Figs. 1, 6, 7. Kano et al. (1984): must-be failures cost more than missing delight. Turley and Milliman (2000): setting shapes judgement, and the £300 rate lowers tolerance for wear.</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Measure</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Weekly checklist pass rate; number of review mentions of condition faults per month.</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Estimate</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Low cost, 1 to 3 months. Staff time plus minor repairs.</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Risk</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Plaster and cornice repairs may need listed-building consent. Start with cleaning and metal polishing, which should not.</w:t>
            </w:r>
          </w:p>
        </w:tc>
      </w:tr>
    </w:tbl>
    <w:p>
      <w:pPr>
        <w:spacing w:after="16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900"/>
        <w:gridCol w:w="8206"/>
      </w:tblGrid>
      <w:tr>
        <w:trPr>
          <w:cantSplit/>
        </w:trPr>
        <w:tc>
          <w:tcPr>
            <w:tcW w:type="dxa" w:w="10106"/>
            <w:gridSpan w:val="2"/>
            <w:tcBorders>
              <w:top w:val="single" w:color="0F766E" w:sz="4"/>
              <w:left w:val="single" w:color="0F766E" w:sz="4"/>
              <w:bottom w:val="single" w:color="0F766E" w:sz="4"/>
              <w:right w:val="single" w:color="0F766E" w:sz="4"/>
            </w:tcBorders>
            <w:shd w:fill="0F766E" w:color="auto" w:val="clear"/>
            <w:tcMar>
              <w:top w:type="dxa" w:w="80"/>
              <w:left w:type="dxa" w:w="130"/>
              <w:bottom w:type="dxa" w:w="80"/>
              <w:right w:type="dxa" w:w="130"/>
            </w:tcMar>
          </w:tcPr>
          <w:p>
            <w:r>
              <w:rPr>
                <w:b/>
                <w:bCs/>
                <w:color w:val="FFFFFF"/>
                <w:sz w:val="23"/>
                <w:szCs w:val="23"/>
              </w:rPr>
              <w:t xml:space="preserve">R2. Breakfast continuity and recovery playbook</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What</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A written plan for outages (backup service area, who tells guests, how), a scripted apology, a standard make-good (for example a drink at 35 Bar or an Arado voucher) and a same-day manager follow-up.</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Why</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Offsite breakfast review; Ledger row 3 (Red). Smith et al. (1999) on recovery; McCollough et al. (2000) warn it cannot replace reliability, hence the backup plan.</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Measure</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Time to first response; share of affected guests offered a make-good; reply time to related reviews.</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Estimate</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Low cost, about 1 month.</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Risk</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Compensation becomes an expectation; keep it for genuine service failures.</w:t>
            </w:r>
          </w:p>
        </w:tc>
      </w:tr>
    </w:tbl>
    <w:p>
      <w:pPr>
        <w:spacing w:after="16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900"/>
        <w:gridCol w:w="8206"/>
      </w:tblGrid>
      <w:tr>
        <w:trPr>
          <w:cantSplit/>
        </w:trPr>
        <w:tc>
          <w:tcPr>
            <w:tcW w:type="dxa" w:w="10106"/>
            <w:gridSpan w:val="2"/>
            <w:tcBorders>
              <w:top w:val="single" w:color="0F766E" w:sz="4"/>
              <w:left w:val="single" w:color="0F766E" w:sz="4"/>
              <w:bottom w:val="single" w:color="0F766E" w:sz="4"/>
              <w:right w:val="single" w:color="0F766E" w:sz="4"/>
            </w:tcBorders>
            <w:shd w:fill="0F766E" w:color="auto" w:val="clear"/>
            <w:tcMar>
              <w:top w:type="dxa" w:w="80"/>
              <w:left w:type="dxa" w:w="130"/>
              <w:bottom w:type="dxa" w:w="80"/>
              <w:right w:type="dxa" w:w="130"/>
            </w:tcMar>
          </w:tcPr>
          <w:p>
            <w:r>
              <w:rPr>
                <w:b/>
                <w:bCs/>
                <w:color w:val="FFFFFF"/>
                <w:sz w:val="23"/>
                <w:szCs w:val="23"/>
              </w:rPr>
              <w:t xml:space="preserve">R3. "Spanish morning" in-room kit</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What</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Replace instant coffee with a Spanish coffee or tea option and add a small local-products card that points guests to Arado and 35 Bar. Pilot on one floor first.</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Why</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Fig. 5 against Figs. 2 and 3. Kim and Mauborgne (2004): make the distinctive element visible throughout. Gentile et al. (2007): experience builds across touchpoints. Treacy and Wiersema (1993) is your counter-point: choose where to be excellent.</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Measure</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In-room F&amp;B mentions in reviews; minibar spend; use of the card (for example a code at Arado).</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Estimate</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Low to medium cost, 3 months including the pilot.</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Risk</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Cost per room across 500+ rooms; pilot results decide roll-out.</w:t>
            </w:r>
          </w:p>
        </w:tc>
      </w:tr>
    </w:tbl>
    <w:p>
      <w:pPr>
        <w:spacing w:after="16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900"/>
        <w:gridCol w:w="8206"/>
      </w:tblGrid>
      <w:tr>
        <w:trPr>
          <w:cantSplit/>
        </w:trPr>
        <w:tc>
          <w:tcPr>
            <w:tcW w:type="dxa" w:w="10106"/>
            <w:gridSpan w:val="2"/>
            <w:tcBorders>
              <w:top w:val="single" w:color="0F766E" w:sz="4"/>
              <w:left w:val="single" w:color="0F766E" w:sz="4"/>
              <w:bottom w:val="single" w:color="0F766E" w:sz="4"/>
              <w:right w:val="single" w:color="0F766E" w:sz="4"/>
            </w:tcBorders>
            <w:shd w:fill="0F766E" w:color="auto" w:val="clear"/>
            <w:tcMar>
              <w:top w:type="dxa" w:w="80"/>
              <w:left w:type="dxa" w:w="130"/>
              <w:bottom w:type="dxa" w:w="80"/>
              <w:right w:type="dxa" w:w="130"/>
            </w:tcMar>
          </w:tcPr>
          <w:p>
            <w:r>
              <w:rPr>
                <w:b/>
                <w:bCs/>
                <w:color w:val="FFFFFF"/>
                <w:sz w:val="23"/>
                <w:szCs w:val="23"/>
              </w:rPr>
              <w:t xml:space="preserve">R4. Track The Level to see what it earns</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What</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Give each co-working day pass a unique code for the 10% discount at Arado and 35 Bar, then report weekly: passes sold, redemption rate and spend per pass-holder.</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Why</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Fig. 4 and Fig. 8; Business Traveller (2024). Ansoff (1957) and Drucker (1985): a new use of a quiet space is only a good bet if the numbers are watched. Usage is currently unknown.</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Measure</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Occupancy of the ten workspaces; redemption rate; average F&amp;B spend per pass-holder.</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Estimate</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Low cost, about 2 months.</w:t>
            </w:r>
          </w:p>
        </w:tc>
      </w:tr>
      <w:tr>
        <w:tc>
          <w:tcPr>
            <w:tcW w:type="dxa" w:w="19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50" w:line="252"/>
            </w:pPr>
            <w:r>
              <w:rPr>
                <w:b/>
                <w:bCs/>
                <w:sz w:val="18"/>
                <w:szCs w:val="18"/>
              </w:rPr>
              <w:t xml:space="preserve">Risk</w:t>
            </w:r>
          </w:p>
        </w:tc>
        <w:tc>
          <w:tcPr>
            <w:tcW w:type="dxa" w:w="8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Discount cannibalises full-price spend; compare against guests who pay without the code.</w:t>
            </w:r>
          </w:p>
        </w:tc>
      </w:tr>
    </w:tbl>
    <w:p>
      <w:pPr>
        <w:spacing w:after="16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F1F5F9" w:sz="2"/>
              <w:left w:val="single" w:color="1F2A44" w:sz="24"/>
              <w:bottom w:val="single" w:color="F1F5F9" w:sz="2"/>
              <w:right w:val="single" w:color="F1F5F9" w:sz="2"/>
            </w:tcBorders>
            <w:shd w:fill="F1F5F9" w:color="auto" w:val="clear"/>
            <w:tcMar>
              <w:top w:type="dxa" w:w="100"/>
              <w:left w:type="dxa" w:w="180"/>
              <w:bottom w:type="dxa" w:w="100"/>
              <w:right w:type="dxa" w:w="160"/>
            </w:tcMar>
          </w:tcPr>
          <w:p>
            <w:pPr>
              <w:spacing w:after="60"/>
            </w:pPr>
            <w:r>
              <w:rPr>
                <w:b/>
                <w:bCs/>
                <w:color w:val="1F2A44"/>
                <w:sz w:val="20"/>
                <w:szCs w:val="20"/>
              </w:rPr>
              <w:t xml:space="preserve">If words allow: R5, make the price story clearer</w:t>
            </w:r>
          </w:p>
          <w:p>
            <w:pPr>
              <w:spacing w:after="50" w:before="0" w:line="276"/>
            </w:pPr>
            <w:r>
              <w:rPr>
                <w:sz w:val="19"/>
                <w:szCs w:val="19"/>
              </w:rPr>
              <w:t xml:space="preserve">Short tier descriptions that match what each room rate includes, so expectations at £117 and £300 are set honestly. Links to Zeithaml (1988), Xia et al. (2004) and Kimes (2002). Risk: revenue dilution if the cheaper tier looks too basic.</w:t>
            </w:r>
          </w:p>
        </w:tc>
      </w:tr>
    </w:tbl>
    <w:p>
      <w:pPr>
        <w:spacing w:after="160"/>
      </w:pPr>
    </w:p>
    <w:p>
      <w:pPr>
        <w:pStyle w:val="Heading2"/>
        <w:keepNext/>
      </w:pPr>
      <w:r>
        <w:t xml:space="preserve">Priority ranking (impact against effort)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3900"/>
        <w:gridCol w:w="3806"/>
      </w:tblGrid>
      <w:tr>
        <w:trPr>
          <w:tblHeader/>
        </w:trPr>
        <w:tc>
          <w:tcPr>
            <w:tcW w:type="dxa" w:w="24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p>
        </w:tc>
        <w:tc>
          <w:tcPr>
            <w:tcW w:type="dxa" w:w="39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Low effort</w:t>
            </w:r>
          </w:p>
        </w:tc>
        <w:tc>
          <w:tcPr>
            <w:tcW w:type="dxa" w:w="3806"/>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Higher effort</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50" w:line="252"/>
            </w:pPr>
            <w:r>
              <w:rPr>
                <w:b/>
                <w:bCs/>
                <w:sz w:val="19"/>
                <w:szCs w:val="19"/>
              </w:rPr>
              <w:t xml:space="preserve">High impact</w:t>
            </w:r>
          </w:p>
        </w:tc>
        <w:tc>
          <w:tcPr>
            <w:tcW w:type="dxa" w:w="3900"/>
            <w:tcBorders>
              <w:top w:val="single" w:color="CBD5E1" w:sz="4"/>
              <w:left w:val="single" w:color="CBD5E1" w:sz="4"/>
              <w:bottom w:val="single" w:color="CBD5E1" w:sz="4"/>
              <w:right w:val="single" w:color="CBD5E1" w:sz="4"/>
            </w:tcBorders>
            <w:shd w:fill="D1FAE5" w:color="auto" w:val="clear"/>
            <w:tcMar>
              <w:top w:type="dxa" w:w="70"/>
              <w:left w:type="dxa" w:w="110"/>
              <w:bottom w:type="dxa" w:w="70"/>
              <w:right w:type="dxa" w:w="110"/>
            </w:tcMar>
          </w:tcPr>
          <w:p>
            <w:pPr>
              <w:spacing w:after="50" w:line="252"/>
            </w:pPr>
            <w:r>
              <w:rPr>
                <w:b w:val="false"/>
                <w:bCs w:val="false"/>
                <w:sz w:val="19"/>
                <w:szCs w:val="19"/>
              </w:rPr>
              <w:t xml:space="preserve">Do first: R2 (breakfast playbook) and R1 (must-be sweep)</w:t>
            </w:r>
          </w:p>
        </w:tc>
        <w:tc>
          <w:tcPr>
            <w:tcW w:type="dxa" w:w="3806"/>
            <w:tcBorders>
              <w:top w:val="single" w:color="CBD5E1" w:sz="4"/>
              <w:left w:val="single" w:color="CBD5E1" w:sz="4"/>
              <w:bottom w:val="single" w:color="CBD5E1" w:sz="4"/>
              <w:right w:val="single" w:color="CBD5E1" w:sz="4"/>
            </w:tcBorders>
            <w:shd w:fill="FEF3C7" w:color="auto" w:val="clear"/>
            <w:tcMar>
              <w:top w:type="dxa" w:w="70"/>
              <w:left w:type="dxa" w:w="110"/>
              <w:bottom w:type="dxa" w:w="70"/>
              <w:right w:type="dxa" w:w="110"/>
            </w:tcMar>
          </w:tcPr>
          <w:p>
            <w:pPr>
              <w:spacing w:after="50" w:line="252"/>
            </w:pPr>
            <w:r>
              <w:rPr>
                <w:b w:val="false"/>
                <w:bCs w:val="false"/>
                <w:sz w:val="19"/>
                <w:szCs w:val="19"/>
              </w:rPr>
              <w:t xml:space="preserve">Plan and pilot: R3 (Spanish morning kit)</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50" w:line="252"/>
            </w:pPr>
            <w:r>
              <w:rPr>
                <w:b/>
                <w:bCs/>
                <w:sz w:val="19"/>
                <w:szCs w:val="19"/>
              </w:rPr>
              <w:t xml:space="preserve">Medium impact</w:t>
            </w:r>
          </w:p>
        </w:tc>
        <w:tc>
          <w:tcPr>
            <w:tcW w:type="dxa" w:w="3900"/>
            <w:tcBorders>
              <w:top w:val="single" w:color="CBD5E1" w:sz="4"/>
              <w:left w:val="single" w:color="CBD5E1" w:sz="4"/>
              <w:bottom w:val="single" w:color="CBD5E1" w:sz="4"/>
              <w:right w:val="single" w:color="CBD5E1" w:sz="4"/>
            </w:tcBorders>
            <w:shd w:fill="D1FAE5" w:color="auto" w:val="clear"/>
            <w:tcMar>
              <w:top w:type="dxa" w:w="70"/>
              <w:left w:type="dxa" w:w="110"/>
              <w:bottom w:type="dxa" w:w="70"/>
              <w:right w:type="dxa" w:w="110"/>
            </w:tcMar>
          </w:tcPr>
          <w:p>
            <w:pPr>
              <w:spacing w:after="50" w:line="252"/>
            </w:pPr>
            <w:r>
              <w:rPr>
                <w:b w:val="false"/>
                <w:bCs w:val="false"/>
                <w:sz w:val="19"/>
                <w:szCs w:val="19"/>
              </w:rPr>
              <w:t xml:space="preserve">Do next: R4 (track The Level)</w:t>
            </w:r>
          </w:p>
        </w:tc>
        <w:tc>
          <w:tcPr>
            <w:tcW w:type="dxa" w:w="380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50" w:line="252"/>
            </w:pPr>
            <w:r>
              <w:rPr>
                <w:b w:val="false"/>
                <w:bCs w:val="false"/>
                <w:sz w:val="19"/>
                <w:szCs w:val="19"/>
              </w:rPr>
              <w:t xml:space="preserve">Only if words allow: R5 (price clarity)</w:t>
            </w:r>
          </w:p>
        </w:tc>
      </w:tr>
    </w:tbl>
    <w:p>
      <w:pPr>
        <w:spacing w:after="90" w:before="80" w:line="276"/>
      </w:pPr>
      <w:r>
        <w:rPr>
          <w:sz w:val="18"/>
          <w:szCs w:val="18"/>
        </w:rPr>
        <w:t xml:space="preserve">Adjust the order once your review sample shows which touchpoint causes most complaints.</w:t>
      </w:r>
    </w:p>
    <w:p>
      <w:pPr>
        <w:spacing w:after="120"/>
      </w:pPr>
    </w:p>
    <w:p>
      <w:pPr>
        <w:pStyle w:val="Heading2"/>
        <w:keepNext/>
      </w:pPr>
      <w:r>
        <w:t xml:space="preserve">90-day timeline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6206"/>
      </w:tblGrid>
      <w:tr>
        <w:trPr>
          <w:tblHeader/>
        </w:trPr>
        <w:tc>
          <w:tcPr>
            <w:tcW w:type="dxa" w:w="18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When</w:t>
            </w:r>
          </w:p>
        </w:tc>
        <w:tc>
          <w:tcPr>
            <w:tcW w:type="dxa" w:w="21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Action</w:t>
            </w:r>
          </w:p>
        </w:tc>
        <w:tc>
          <w:tcPr>
            <w:tcW w:type="dxa" w:w="6206"/>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Milestone</w:t>
            </w:r>
          </w:p>
        </w:tc>
      </w:tr>
      <w:tr>
        <w:trPr>
          <w:cantSplit/>
        </w:trPr>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Days 1 to 30</w:t>
            </w:r>
          </w:p>
        </w:tc>
        <w:tc>
          <w:tcPr>
            <w:tcW w:type="dxa" w:w="2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R2, R1 sweep</w:t>
            </w:r>
          </w:p>
        </w:tc>
        <w:tc>
          <w:tcPr>
            <w:tcW w:type="dxa" w:w="6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Playbook signed off; sweep done; weekly walk begins</w:t>
            </w:r>
          </w:p>
        </w:tc>
      </w:tr>
      <w:tr>
        <w:trPr>
          <w:cantSplit/>
        </w:trPr>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Days 31 to 60</w:t>
            </w:r>
          </w:p>
        </w:tc>
        <w:tc>
          <w:tcPr>
            <w:tcW w:type="dxa" w:w="2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R4, R1 weekly</w:t>
            </w:r>
          </w:p>
        </w:tc>
        <w:tc>
          <w:tcPr>
            <w:tcW w:type="dxa" w:w="6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Codes live on day passes; first redemption report</w:t>
            </w:r>
          </w:p>
        </w:tc>
      </w:tr>
      <w:tr>
        <w:trPr>
          <w:cantSplit/>
        </w:trPr>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Days 61 to 90</w:t>
            </w:r>
          </w:p>
        </w:tc>
        <w:tc>
          <w:tcPr>
            <w:tcW w:type="dxa" w:w="2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R3 pilot</w:t>
            </w:r>
          </w:p>
        </w:tc>
        <w:tc>
          <w:tcPr>
            <w:tcW w:type="dxa" w:w="62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One-floor pilot; review of mentions and spend; roll-out decision</w:t>
            </w:r>
          </w:p>
        </w:tc>
      </w:tr>
    </w:tbl>
    <w:p>
      <w:pPr>
        <w:pStyle w:val="Heading1"/>
        <w:pageBreakBefore/>
      </w:pPr>
      <w:r>
        <w:t xml:space="preserve">Part F. References (Harvard)</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FEF3C7" w:sz="2"/>
              <w:left w:val="single" w:color="B45309" w:sz="24"/>
              <w:bottom w:val="single" w:color="FEF3C7" w:sz="2"/>
              <w:right w:val="single" w:color="FEF3C7" w:sz="2"/>
            </w:tcBorders>
            <w:shd w:fill="FEF3C7" w:color="auto" w:val="clear"/>
            <w:tcMar>
              <w:top w:type="dxa" w:w="100"/>
              <w:left w:type="dxa" w:w="180"/>
              <w:bottom w:type="dxa" w:w="100"/>
              <w:right w:type="dxa" w:w="160"/>
            </w:tcMar>
          </w:tcPr>
          <w:p>
            <w:pPr>
              <w:spacing w:after="60"/>
            </w:pPr>
            <w:r>
              <w:rPr>
                <w:b/>
                <w:bCs/>
                <w:color w:val="B45309"/>
                <w:sz w:val="20"/>
                <w:szCs w:val="20"/>
              </w:rPr>
              <w:t xml:space="preserve">Check before you submit</w:t>
            </w:r>
          </w:p>
          <w:p>
            <w:pPr>
              <w:pStyle w:val="ListParagraph"/>
              <w:numPr>
                <w:ilvl w:val="0"/>
                <w:numId w:val="2"/>
              </w:numPr>
              <w:spacing w:after="50" w:line="264"/>
            </w:pPr>
            <w:r>
              <w:rPr>
                <w:sz w:val="19"/>
                <w:szCs w:val="19"/>
              </w:rPr>
              <w:t xml:space="preserve">This is a new set. It replaces the first draft’s theory sources wherever a swap was possible.</w:t>
            </w:r>
          </w:p>
          <w:p>
            <w:pPr>
              <w:pStyle w:val="ListParagraph"/>
              <w:numPr>
                <w:ilvl w:val="0"/>
                <w:numId w:val="2"/>
              </w:numPr>
              <w:spacing w:after="50" w:line="264"/>
            </w:pPr>
            <w:r>
              <w:rPr>
                <w:sz w:val="19"/>
                <w:szCs w:val="19"/>
              </w:rPr>
              <w:t xml:space="preserve">Check every edition, page range and publisher against the library catalogue or the publisher page. They are given from memory of the standard citations and have not been looked up online.</w:t>
            </w:r>
          </w:p>
          <w:p>
            <w:pPr>
              <w:pStyle w:val="ListParagraph"/>
              <w:numPr>
                <w:ilvl w:val="0"/>
                <w:numId w:val="2"/>
              </w:numPr>
              <w:spacing w:after="50" w:line="264"/>
            </w:pPr>
            <w:r>
              <w:rPr>
                <w:sz w:val="19"/>
                <w:szCs w:val="19"/>
              </w:rPr>
              <w:t xml:space="preserve">Check which items are on your Canvas reading list. Keep a mix of reading-list and outside sources.</w:t>
            </w:r>
          </w:p>
          <w:p>
            <w:pPr>
              <w:pStyle w:val="ListParagraph"/>
              <w:numPr>
                <w:ilvl w:val="0"/>
                <w:numId w:val="2"/>
              </w:numPr>
              <w:spacing w:after="50" w:line="264"/>
            </w:pPr>
            <w:r>
              <w:rPr>
                <w:sz w:val="19"/>
                <w:szCs w:val="19"/>
              </w:rPr>
              <w:t xml:space="preserve">Remove any item you do not cite in the text.</w:t>
            </w:r>
          </w:p>
        </w:tc>
      </w:tr>
    </w:tbl>
    <w:p>
      <w:pPr>
        <w:spacing w:after="120"/>
      </w:pPr>
    </w:p>
    <w:p>
      <w:pPr>
        <w:spacing w:after="90" w:line="264"/>
        <w:ind w:left="480" w:hanging="480"/>
      </w:pPr>
      <w:r>
        <w:rPr>
          <w:sz w:val="19"/>
          <w:szCs w:val="19"/>
        </w:rPr>
        <w:t xml:space="preserve">Ansoff, H.I. (1957) 'Strategies for diversification', </w:t>
      </w:r>
      <w:r>
        <w:rPr>
          <w:i/>
          <w:iCs/>
          <w:sz w:val="19"/>
          <w:szCs w:val="19"/>
        </w:rPr>
        <w:t xml:space="preserve">Harvard Business Review</w:t>
      </w:r>
      <w:r>
        <w:rPr>
          <w:sz w:val="19"/>
          <w:szCs w:val="19"/>
        </w:rPr>
        <w:t xml:space="preserve">, 35(5), pp. 113-124.</w:t>
      </w:r>
    </w:p>
    <w:p>
      <w:pPr>
        <w:spacing w:after="90" w:line="264"/>
        <w:ind w:left="480" w:hanging="480"/>
      </w:pPr>
      <w:r>
        <w:rPr>
          <w:sz w:val="19"/>
          <w:szCs w:val="19"/>
        </w:rPr>
        <w:t xml:space="preserve">Braun, V. and Clarke, V. (2006) 'Using thematic analysis in psychology', </w:t>
      </w:r>
      <w:r>
        <w:rPr>
          <w:i/>
          <w:iCs/>
          <w:sz w:val="19"/>
          <w:szCs w:val="19"/>
        </w:rPr>
        <w:t xml:space="preserve">Qualitative Research in Psychology</w:t>
      </w:r>
      <w:r>
        <w:rPr>
          <w:sz w:val="19"/>
          <w:szCs w:val="19"/>
        </w:rPr>
        <w:t xml:space="preserve">, 3(2), pp. 77-101.</w:t>
      </w:r>
    </w:p>
    <w:p>
      <w:pPr>
        <w:spacing w:after="90" w:line="264"/>
        <w:ind w:left="480" w:hanging="480"/>
      </w:pPr>
      <w:r>
        <w:rPr>
          <w:sz w:val="19"/>
          <w:szCs w:val="19"/>
        </w:rPr>
        <w:t xml:space="preserve">Bryman, A. and Bell, E. (2015) </w:t>
      </w:r>
      <w:r>
        <w:rPr>
          <w:i/>
          <w:iCs/>
          <w:sz w:val="19"/>
          <w:szCs w:val="19"/>
        </w:rPr>
        <w:t xml:space="preserve">Business Research Methods</w:t>
      </w:r>
      <w:r>
        <w:rPr>
          <w:sz w:val="19"/>
          <w:szCs w:val="19"/>
        </w:rPr>
        <w:t xml:space="preserve">. 4th edn. Oxford: Oxford University Press.</w:t>
      </w:r>
    </w:p>
    <w:p>
      <w:pPr>
        <w:spacing w:after="90" w:line="264"/>
        <w:ind w:left="480" w:hanging="480"/>
      </w:pPr>
      <w:r>
        <w:rPr>
          <w:sz w:val="19"/>
          <w:szCs w:val="19"/>
        </w:rPr>
        <w:t xml:space="preserve">Cope, M. (2003) </w:t>
      </w:r>
      <w:r>
        <w:rPr>
          <w:i/>
          <w:iCs/>
          <w:sz w:val="19"/>
          <w:szCs w:val="19"/>
        </w:rPr>
        <w:t xml:space="preserve">The Seven Cs of Consulting</w:t>
      </w:r>
      <w:r>
        <w:rPr>
          <w:sz w:val="19"/>
          <w:szCs w:val="19"/>
        </w:rPr>
        <w:t xml:space="preserve">. 2nd edn. Harlow: FT Prentice Hall.</w:t>
      </w:r>
    </w:p>
    <w:p>
      <w:pPr>
        <w:spacing w:after="90" w:line="264"/>
        <w:ind w:left="480" w:hanging="480"/>
      </w:pPr>
      <w:r>
        <w:rPr>
          <w:sz w:val="19"/>
          <w:szCs w:val="19"/>
        </w:rPr>
        <w:t xml:space="preserve">Cousins, J., Lillicrap, D. and Weekes, S. (2014) </w:t>
      </w:r>
      <w:r>
        <w:rPr>
          <w:i/>
          <w:iCs/>
          <w:sz w:val="19"/>
          <w:szCs w:val="19"/>
        </w:rPr>
        <w:t xml:space="preserve">Food and Beverage Service</w:t>
      </w:r>
      <w:r>
        <w:rPr>
          <w:sz w:val="19"/>
          <w:szCs w:val="19"/>
        </w:rPr>
        <w:t xml:space="preserve">. 9th edn. London: Hodder Education.</w:t>
      </w:r>
    </w:p>
    <w:p>
      <w:pPr>
        <w:spacing w:after="90" w:line="264"/>
        <w:ind w:left="480" w:hanging="480"/>
      </w:pPr>
      <w:r>
        <w:rPr>
          <w:sz w:val="19"/>
          <w:szCs w:val="19"/>
        </w:rPr>
        <w:t xml:space="preserve">Davis, B., Lockwood, A., Alcott, P. and Pantelidis, I.S. (2018) </w:t>
      </w:r>
      <w:r>
        <w:rPr>
          <w:i/>
          <w:iCs/>
          <w:sz w:val="19"/>
          <w:szCs w:val="19"/>
        </w:rPr>
        <w:t xml:space="preserve">Food and Beverage Management</w:t>
      </w:r>
      <w:r>
        <w:rPr>
          <w:sz w:val="19"/>
          <w:szCs w:val="19"/>
        </w:rPr>
        <w:t xml:space="preserve">. 5th edn. Abingdon: Routledge.</w:t>
      </w:r>
    </w:p>
    <w:p>
      <w:pPr>
        <w:spacing w:after="90" w:line="264"/>
        <w:ind w:left="480" w:hanging="480"/>
      </w:pPr>
      <w:r>
        <w:rPr>
          <w:sz w:val="19"/>
          <w:szCs w:val="19"/>
        </w:rPr>
        <w:t xml:space="preserve">Denzin, N.K. (1978) </w:t>
      </w:r>
      <w:r>
        <w:rPr>
          <w:i/>
          <w:iCs/>
          <w:sz w:val="19"/>
          <w:szCs w:val="19"/>
        </w:rPr>
        <w:t xml:space="preserve">The Research Act: A Theoretical Introduction to Sociological Methods</w:t>
      </w:r>
      <w:r>
        <w:rPr>
          <w:sz w:val="19"/>
          <w:szCs w:val="19"/>
        </w:rPr>
        <w:t xml:space="preserve">. 2nd edn. New York: McGraw-Hill.</w:t>
      </w:r>
    </w:p>
    <w:p>
      <w:pPr>
        <w:spacing w:after="90" w:line="264"/>
        <w:ind w:left="480" w:hanging="480"/>
      </w:pPr>
      <w:r>
        <w:rPr>
          <w:sz w:val="19"/>
          <w:szCs w:val="19"/>
        </w:rPr>
        <w:t xml:space="preserve">Drucker, P.F. (1985) </w:t>
      </w:r>
      <w:r>
        <w:rPr>
          <w:i/>
          <w:iCs/>
          <w:sz w:val="19"/>
          <w:szCs w:val="19"/>
        </w:rPr>
        <w:t xml:space="preserve">Innovation and Entrepreneurship</w:t>
      </w:r>
      <w:r>
        <w:rPr>
          <w:sz w:val="19"/>
          <w:szCs w:val="19"/>
        </w:rPr>
        <w:t xml:space="preserve">. New York: Harper &amp; Row.</w:t>
      </w:r>
    </w:p>
    <w:p>
      <w:pPr>
        <w:spacing w:after="90" w:line="264"/>
        <w:ind w:left="480" w:hanging="480"/>
      </w:pPr>
      <w:r>
        <w:rPr>
          <w:sz w:val="19"/>
          <w:szCs w:val="19"/>
        </w:rPr>
        <w:t xml:space="preserve">Eisenhardt, K.M. and Martin, J.A. (2000) 'Dynamic capabilities: what are they?', </w:t>
      </w:r>
      <w:r>
        <w:rPr>
          <w:i/>
          <w:iCs/>
          <w:sz w:val="19"/>
          <w:szCs w:val="19"/>
        </w:rPr>
        <w:t xml:space="preserve">Strategic Management Journal</w:t>
      </w:r>
      <w:r>
        <w:rPr>
          <w:sz w:val="19"/>
          <w:szCs w:val="19"/>
        </w:rPr>
        <w:t xml:space="preserve">, 21(10-11), pp. 1105-1121.</w:t>
      </w:r>
    </w:p>
    <w:p>
      <w:pPr>
        <w:spacing w:after="90" w:line="264"/>
        <w:ind w:left="480" w:hanging="480"/>
      </w:pPr>
      <w:r>
        <w:rPr>
          <w:sz w:val="19"/>
          <w:szCs w:val="19"/>
        </w:rPr>
        <w:t xml:space="preserve">Gentile, C., Spiller, N. and Noci, G. (2007) 'How to sustain the customer experience: an overview of experience components that co-create value with the customer', </w:t>
      </w:r>
      <w:r>
        <w:rPr>
          <w:i/>
          <w:iCs/>
          <w:sz w:val="19"/>
          <w:szCs w:val="19"/>
        </w:rPr>
        <w:t xml:space="preserve">European Management Journal</w:t>
      </w:r>
      <w:r>
        <w:rPr>
          <w:sz w:val="19"/>
          <w:szCs w:val="19"/>
        </w:rPr>
        <w:t xml:space="preserve">, 25(5), pp. 395-410.</w:t>
      </w:r>
    </w:p>
    <w:p>
      <w:pPr>
        <w:spacing w:after="90" w:line="264"/>
        <w:ind w:left="480" w:hanging="480"/>
      </w:pPr>
      <w:r>
        <w:rPr>
          <w:sz w:val="19"/>
          <w:szCs w:val="19"/>
        </w:rPr>
        <w:t xml:space="preserve">Grant, R.M. (1991) 'The resource-based theory of competitive advantage: implications for strategy formulation', </w:t>
      </w:r>
      <w:r>
        <w:rPr>
          <w:i/>
          <w:iCs/>
          <w:sz w:val="19"/>
          <w:szCs w:val="19"/>
        </w:rPr>
        <w:t xml:space="preserve">California Management Review</w:t>
      </w:r>
      <w:r>
        <w:rPr>
          <w:sz w:val="19"/>
          <w:szCs w:val="19"/>
        </w:rPr>
        <w:t xml:space="preserve">, 33(3), pp. 114-135.</w:t>
      </w:r>
    </w:p>
    <w:p>
      <w:pPr>
        <w:spacing w:after="90" w:line="264"/>
        <w:ind w:left="480" w:hanging="480"/>
      </w:pPr>
      <w:r>
        <w:rPr>
          <w:sz w:val="19"/>
          <w:szCs w:val="19"/>
        </w:rPr>
        <w:t xml:space="preserve">Greiner, L.E. and Metzger, R.O. (1983) </w:t>
      </w:r>
      <w:r>
        <w:rPr>
          <w:i/>
          <w:iCs/>
          <w:sz w:val="19"/>
          <w:szCs w:val="19"/>
        </w:rPr>
        <w:t xml:space="preserve">Consulting to Management</w:t>
      </w:r>
      <w:r>
        <w:rPr>
          <w:sz w:val="19"/>
          <w:szCs w:val="19"/>
        </w:rPr>
        <w:t xml:space="preserve">. Englewood Cliffs, NJ: Prentice-Hall.</w:t>
      </w:r>
    </w:p>
    <w:p>
      <w:pPr>
        <w:spacing w:after="90" w:line="264"/>
        <w:ind w:left="480" w:hanging="480"/>
      </w:pPr>
      <w:r>
        <w:rPr>
          <w:sz w:val="19"/>
          <w:szCs w:val="19"/>
        </w:rPr>
        <w:t xml:space="preserve">Grönroos, C. (1984) 'A service quality model and its marketing implications', </w:t>
      </w:r>
      <w:r>
        <w:rPr>
          <w:i/>
          <w:iCs/>
          <w:sz w:val="19"/>
          <w:szCs w:val="19"/>
        </w:rPr>
        <w:t xml:space="preserve">European Journal of Marketing</w:t>
      </w:r>
      <w:r>
        <w:rPr>
          <w:sz w:val="19"/>
          <w:szCs w:val="19"/>
        </w:rPr>
        <w:t xml:space="preserve">, 18(4), pp. 36-44.</w:t>
      </w:r>
    </w:p>
    <w:p>
      <w:pPr>
        <w:spacing w:after="90" w:line="264"/>
        <w:ind w:left="480" w:hanging="480"/>
      </w:pPr>
      <w:r>
        <w:rPr>
          <w:sz w:val="19"/>
          <w:szCs w:val="19"/>
        </w:rPr>
        <w:t xml:space="preserve">Johnson, G., Whittington, R., Scholes, K., Angwin, D. and Regnér, P. (2020) </w:t>
      </w:r>
      <w:r>
        <w:rPr>
          <w:i/>
          <w:iCs/>
          <w:sz w:val="19"/>
          <w:szCs w:val="19"/>
        </w:rPr>
        <w:t xml:space="preserve">Exploring Strategy</w:t>
      </w:r>
      <w:r>
        <w:rPr>
          <w:sz w:val="19"/>
          <w:szCs w:val="19"/>
        </w:rPr>
        <w:t xml:space="preserve">. 12th edn. Harlow: Pearson.</w:t>
      </w:r>
    </w:p>
    <w:p>
      <w:pPr>
        <w:spacing w:after="90" w:line="264"/>
        <w:ind w:left="480" w:hanging="480"/>
      </w:pPr>
      <w:r>
        <w:rPr>
          <w:sz w:val="19"/>
          <w:szCs w:val="19"/>
        </w:rPr>
        <w:t xml:space="preserve">Kandampully, J., Mok, C. and Sparks, B. (2001) </w:t>
      </w:r>
      <w:r>
        <w:rPr>
          <w:i/>
          <w:iCs/>
          <w:sz w:val="19"/>
          <w:szCs w:val="19"/>
        </w:rPr>
        <w:t xml:space="preserve">Service Quality Management in Hospitality, Tourism, and Leisure</w:t>
      </w:r>
      <w:r>
        <w:rPr>
          <w:sz w:val="19"/>
          <w:szCs w:val="19"/>
        </w:rPr>
        <w:t xml:space="preserve">. New York: Haworth Hospitality Press.</w:t>
      </w:r>
    </w:p>
    <w:p>
      <w:pPr>
        <w:spacing w:after="90" w:line="264"/>
        <w:ind w:left="480" w:hanging="480"/>
      </w:pPr>
      <w:r>
        <w:rPr>
          <w:sz w:val="19"/>
          <w:szCs w:val="19"/>
        </w:rPr>
        <w:t xml:space="preserve">Kano, N., Seraku, N., Takahashi, F. and Tsuji, S. (1984) 'Attractive quality and must-be quality', </w:t>
      </w:r>
      <w:r>
        <w:rPr>
          <w:i/>
          <w:iCs/>
          <w:sz w:val="19"/>
          <w:szCs w:val="19"/>
        </w:rPr>
        <w:t xml:space="preserve">Journal of the Japanese Society for Quality Control</w:t>
      </w:r>
      <w:r>
        <w:rPr>
          <w:sz w:val="19"/>
          <w:szCs w:val="19"/>
        </w:rPr>
        <w:t xml:space="preserve">, 14(2), pp. 39-48.</w:t>
      </w:r>
    </w:p>
    <w:p>
      <w:pPr>
        <w:spacing w:after="90" w:line="264"/>
        <w:ind w:left="480" w:hanging="480"/>
      </w:pPr>
      <w:r>
        <w:rPr>
          <w:sz w:val="19"/>
          <w:szCs w:val="19"/>
        </w:rPr>
        <w:t xml:space="preserve">Kim, W.C. and Mauborgne, R. (2004) 'Blue ocean strategy', </w:t>
      </w:r>
      <w:r>
        <w:rPr>
          <w:i/>
          <w:iCs/>
          <w:sz w:val="19"/>
          <w:szCs w:val="19"/>
        </w:rPr>
        <w:t xml:space="preserve">Harvard Business Review</w:t>
      </w:r>
      <w:r>
        <w:rPr>
          <w:sz w:val="19"/>
          <w:szCs w:val="19"/>
        </w:rPr>
        <w:t xml:space="preserve">, 82(10), pp. 76-84.</w:t>
      </w:r>
    </w:p>
    <w:p>
      <w:pPr>
        <w:spacing w:after="90" w:line="264"/>
        <w:ind w:left="480" w:hanging="480"/>
      </w:pPr>
      <w:r>
        <w:rPr>
          <w:sz w:val="19"/>
          <w:szCs w:val="19"/>
        </w:rPr>
        <w:t xml:space="preserve">Kimes, S.E. (2002) 'Perceived fairness of yield management', </w:t>
      </w:r>
      <w:r>
        <w:rPr>
          <w:i/>
          <w:iCs/>
          <w:sz w:val="19"/>
          <w:szCs w:val="19"/>
        </w:rPr>
        <w:t xml:space="preserve">Cornell Hotel and Restaurant Administration Quarterly</w:t>
      </w:r>
      <w:r>
        <w:rPr>
          <w:sz w:val="19"/>
          <w:szCs w:val="19"/>
        </w:rPr>
        <w:t xml:space="preserve">, 43(1), pp. 21-30.</w:t>
      </w:r>
    </w:p>
    <w:p>
      <w:pPr>
        <w:spacing w:after="90" w:line="264"/>
        <w:ind w:left="480" w:hanging="480"/>
      </w:pPr>
      <w:r>
        <w:rPr>
          <w:sz w:val="19"/>
          <w:szCs w:val="19"/>
        </w:rPr>
        <w:t xml:space="preserve">Litvin, S.W., Goldsmith, R.E. and Pan, B. (2008) 'Electronic word-of-mouth in hospitality and tourism management', </w:t>
      </w:r>
      <w:r>
        <w:rPr>
          <w:i/>
          <w:iCs/>
          <w:sz w:val="19"/>
          <w:szCs w:val="19"/>
        </w:rPr>
        <w:t xml:space="preserve">Tourism Management</w:t>
      </w:r>
      <w:r>
        <w:rPr>
          <w:sz w:val="19"/>
          <w:szCs w:val="19"/>
        </w:rPr>
        <w:t xml:space="preserve">, 29(3), pp. 458-468.</w:t>
      </w:r>
    </w:p>
    <w:p>
      <w:pPr>
        <w:spacing w:after="90" w:line="264"/>
        <w:ind w:left="480" w:hanging="480"/>
      </w:pPr>
      <w:r>
        <w:rPr>
          <w:sz w:val="19"/>
          <w:szCs w:val="19"/>
        </w:rPr>
        <w:t xml:space="preserve">Manaktola, K. and Jauhari, V. (2007) 'Exploring consumer attitude and behaviour towards green practices in the lodging industry in India', </w:t>
      </w:r>
      <w:r>
        <w:rPr>
          <w:i/>
          <w:iCs/>
          <w:sz w:val="19"/>
          <w:szCs w:val="19"/>
        </w:rPr>
        <w:t xml:space="preserve">International Journal of Contemporary Hospitality Management</w:t>
      </w:r>
      <w:r>
        <w:rPr>
          <w:sz w:val="19"/>
          <w:szCs w:val="19"/>
        </w:rPr>
        <w:t xml:space="preserve">, 19(5), pp. 364-377.</w:t>
      </w:r>
    </w:p>
    <w:p>
      <w:pPr>
        <w:spacing w:after="90" w:line="264"/>
        <w:ind w:left="480" w:hanging="480"/>
      </w:pPr>
      <w:r>
        <w:rPr>
          <w:sz w:val="19"/>
          <w:szCs w:val="19"/>
        </w:rPr>
        <w:t xml:space="preserve">McCollough, M.A., Berry, L.L. and Yadav, M.S. (2000) 'An empirical investigation of customer satisfaction after service failure and recovery', </w:t>
      </w:r>
      <w:r>
        <w:rPr>
          <w:i/>
          <w:iCs/>
          <w:sz w:val="19"/>
          <w:szCs w:val="19"/>
        </w:rPr>
        <w:t xml:space="preserve">Journal of Service Research</w:t>
      </w:r>
      <w:r>
        <w:rPr>
          <w:sz w:val="19"/>
          <w:szCs w:val="19"/>
        </w:rPr>
        <w:t xml:space="preserve">, 3(2), pp. 121-137.</w:t>
      </w:r>
    </w:p>
    <w:p>
      <w:pPr>
        <w:spacing w:after="90" w:line="264"/>
        <w:ind w:left="480" w:hanging="480"/>
      </w:pPr>
      <w:r>
        <w:rPr>
          <w:sz w:val="19"/>
          <w:szCs w:val="19"/>
        </w:rPr>
        <w:t xml:space="preserve">Olsen, M.D., West, J.J. and Tse, E.C.-Y. (2008) </w:t>
      </w:r>
      <w:r>
        <w:rPr>
          <w:i/>
          <w:iCs/>
          <w:sz w:val="19"/>
          <w:szCs w:val="19"/>
        </w:rPr>
        <w:t xml:space="preserve">Strategic Management in the Hospitality Industry</w:t>
      </w:r>
      <w:r>
        <w:rPr>
          <w:sz w:val="19"/>
          <w:szCs w:val="19"/>
        </w:rPr>
        <w:t xml:space="preserve">. 3rd edn. Upper Saddle River, NJ: Pearson.</w:t>
      </w:r>
    </w:p>
    <w:p>
      <w:pPr>
        <w:spacing w:after="90" w:line="264"/>
        <w:ind w:left="480" w:hanging="480"/>
      </w:pPr>
      <w:r>
        <w:rPr>
          <w:sz w:val="19"/>
          <w:szCs w:val="19"/>
        </w:rPr>
        <w:t xml:space="preserve">Pizam, A. and Ellis, T. (1999) 'Customer satisfaction and its measurement in hospitality enterprises', </w:t>
      </w:r>
      <w:r>
        <w:rPr>
          <w:i/>
          <w:iCs/>
          <w:sz w:val="19"/>
          <w:szCs w:val="19"/>
        </w:rPr>
        <w:t xml:space="preserve">International Journal of Contemporary Hospitality Management</w:t>
      </w:r>
      <w:r>
        <w:rPr>
          <w:sz w:val="19"/>
          <w:szCs w:val="19"/>
        </w:rPr>
        <w:t xml:space="preserve">, 11(7), pp. 326-339.</w:t>
      </w:r>
    </w:p>
    <w:p>
      <w:pPr>
        <w:spacing w:after="90" w:line="264"/>
        <w:ind w:left="480" w:hanging="480"/>
      </w:pPr>
      <w:r>
        <w:rPr>
          <w:sz w:val="19"/>
          <w:szCs w:val="19"/>
        </w:rPr>
        <w:t xml:space="preserve">Poria, Y., Butler, R. and Airey, D. (2003) 'The core of heritage tourism', </w:t>
      </w:r>
      <w:r>
        <w:rPr>
          <w:i/>
          <w:iCs/>
          <w:sz w:val="19"/>
          <w:szCs w:val="19"/>
        </w:rPr>
        <w:t xml:space="preserve">Annals of Tourism Research</w:t>
      </w:r>
      <w:r>
        <w:rPr>
          <w:sz w:val="19"/>
          <w:szCs w:val="19"/>
        </w:rPr>
        <w:t xml:space="preserve">, 30(1), pp. 238-254.</w:t>
      </w:r>
    </w:p>
    <w:p>
      <w:pPr>
        <w:spacing w:after="90" w:line="264"/>
        <w:ind w:left="480" w:hanging="480"/>
      </w:pPr>
      <w:r>
        <w:rPr>
          <w:sz w:val="19"/>
          <w:szCs w:val="19"/>
        </w:rPr>
        <w:t xml:space="preserve">Schneider, B. and Bowen, D.E. (1993) 'The service organization: human resources management is crucial', </w:t>
      </w:r>
      <w:r>
        <w:rPr>
          <w:i/>
          <w:iCs/>
          <w:sz w:val="19"/>
          <w:szCs w:val="19"/>
        </w:rPr>
        <w:t xml:space="preserve">Organizational Dynamics</w:t>
      </w:r>
      <w:r>
        <w:rPr>
          <w:sz w:val="19"/>
          <w:szCs w:val="19"/>
        </w:rPr>
        <w:t xml:space="preserve">, 21(4), pp. 39-52.</w:t>
      </w:r>
    </w:p>
    <w:p>
      <w:pPr>
        <w:spacing w:after="90" w:line="264"/>
        <w:ind w:left="480" w:hanging="480"/>
      </w:pPr>
      <w:r>
        <w:rPr>
          <w:sz w:val="19"/>
          <w:szCs w:val="19"/>
        </w:rPr>
        <w:t xml:space="preserve">Smith, A.K., Bolton, R.N. and Wagner, J. (1999) 'A model of customer satisfaction with service encounters involving failure and recovery', </w:t>
      </w:r>
      <w:r>
        <w:rPr>
          <w:i/>
          <w:iCs/>
          <w:sz w:val="19"/>
          <w:szCs w:val="19"/>
        </w:rPr>
        <w:t xml:space="preserve">Journal of Marketing Research</w:t>
      </w:r>
      <w:r>
        <w:rPr>
          <w:sz w:val="19"/>
          <w:szCs w:val="19"/>
        </w:rPr>
        <w:t xml:space="preserve">, 36(3), pp. 356-372.</w:t>
      </w:r>
    </w:p>
    <w:p>
      <w:pPr>
        <w:spacing w:after="90" w:line="264"/>
        <w:ind w:left="480" w:hanging="480"/>
      </w:pPr>
      <w:r>
        <w:rPr>
          <w:sz w:val="19"/>
          <w:szCs w:val="19"/>
        </w:rPr>
        <w:t xml:space="preserve">Sparks, B.A. and Browning, V. (2011) 'The impact of online reviews on hotel booking intentions and perception of trust', </w:t>
      </w:r>
      <w:r>
        <w:rPr>
          <w:i/>
          <w:iCs/>
          <w:sz w:val="19"/>
          <w:szCs w:val="19"/>
        </w:rPr>
        <w:t xml:space="preserve">Tourism Management</w:t>
      </w:r>
      <w:r>
        <w:rPr>
          <w:sz w:val="19"/>
          <w:szCs w:val="19"/>
        </w:rPr>
        <w:t xml:space="preserve">, 32(6), pp. 1310-1323.</w:t>
      </w:r>
    </w:p>
    <w:p>
      <w:pPr>
        <w:spacing w:after="90" w:line="264"/>
        <w:ind w:left="480" w:hanging="480"/>
      </w:pPr>
      <w:r>
        <w:rPr>
          <w:sz w:val="19"/>
          <w:szCs w:val="19"/>
        </w:rPr>
        <w:t xml:space="preserve">Treacy, M. and Wiersema, F. (1993) 'Customer intimacy and other value disciplines', </w:t>
      </w:r>
      <w:r>
        <w:rPr>
          <w:i/>
          <w:iCs/>
          <w:sz w:val="19"/>
          <w:szCs w:val="19"/>
        </w:rPr>
        <w:t xml:space="preserve">Harvard Business Review</w:t>
      </w:r>
      <w:r>
        <w:rPr>
          <w:sz w:val="19"/>
          <w:szCs w:val="19"/>
        </w:rPr>
        <w:t xml:space="preserve">, 71(1), pp. 84-93.</w:t>
      </w:r>
    </w:p>
    <w:p>
      <w:pPr>
        <w:spacing w:after="90" w:line="264"/>
        <w:ind w:left="480" w:hanging="480"/>
      </w:pPr>
      <w:r>
        <w:rPr>
          <w:sz w:val="19"/>
          <w:szCs w:val="19"/>
        </w:rPr>
        <w:t xml:space="preserve">Turley, L.W. and Milliman, R.E. (2000) 'Atmospheric effects on shopping behavior: a review of the experimental evidence', </w:t>
      </w:r>
      <w:r>
        <w:rPr>
          <w:i/>
          <w:iCs/>
          <w:sz w:val="19"/>
          <w:szCs w:val="19"/>
        </w:rPr>
        <w:t xml:space="preserve">Journal of Business Research</w:t>
      </w:r>
      <w:r>
        <w:rPr>
          <w:sz w:val="19"/>
          <w:szCs w:val="19"/>
        </w:rPr>
        <w:t xml:space="preserve">, 49(2), pp. 193-211.</w:t>
      </w:r>
    </w:p>
    <w:p>
      <w:pPr>
        <w:spacing w:after="90" w:line="264"/>
        <w:ind w:left="480" w:hanging="480"/>
      </w:pPr>
      <w:r>
        <w:rPr>
          <w:sz w:val="19"/>
          <w:szCs w:val="19"/>
        </w:rPr>
        <w:t xml:space="preserve">Veal, A.J. (2017) </w:t>
      </w:r>
      <w:r>
        <w:rPr>
          <w:i/>
          <w:iCs/>
          <w:sz w:val="19"/>
          <w:szCs w:val="19"/>
        </w:rPr>
        <w:t xml:space="preserve">Research Methods for Leisure and Tourism</w:t>
      </w:r>
      <w:r>
        <w:rPr>
          <w:sz w:val="19"/>
          <w:szCs w:val="19"/>
        </w:rPr>
        <w:t xml:space="preserve">. 5th edn. Harlow: Pearson.</w:t>
      </w:r>
    </w:p>
    <w:p>
      <w:pPr>
        <w:spacing w:after="90" w:line="264"/>
        <w:ind w:left="480" w:hanging="480"/>
      </w:pPr>
      <w:r>
        <w:rPr>
          <w:sz w:val="19"/>
          <w:szCs w:val="19"/>
        </w:rPr>
        <w:t xml:space="preserve">Xia, L., Monroe, K.B. and Cox, J.L. (2004) 'The price is unfair! A conceptual framework of price fairness perceptions', </w:t>
      </w:r>
      <w:r>
        <w:rPr>
          <w:i/>
          <w:iCs/>
          <w:sz w:val="19"/>
          <w:szCs w:val="19"/>
        </w:rPr>
        <w:t xml:space="preserve">Journal of Marketing</w:t>
      </w:r>
      <w:r>
        <w:rPr>
          <w:sz w:val="19"/>
          <w:szCs w:val="19"/>
        </w:rPr>
        <w:t xml:space="preserve">, 68(4), pp. 1-15.</w:t>
      </w:r>
    </w:p>
    <w:p>
      <w:pPr>
        <w:spacing w:after="90" w:line="264"/>
        <w:ind w:left="480" w:hanging="480"/>
      </w:pPr>
      <w:r>
        <w:rPr>
          <w:sz w:val="19"/>
          <w:szCs w:val="19"/>
        </w:rPr>
        <w:t xml:space="preserve">Yin, R.K. (2018) </w:t>
      </w:r>
      <w:r>
        <w:rPr>
          <w:i/>
          <w:iCs/>
          <w:sz w:val="19"/>
          <w:szCs w:val="19"/>
        </w:rPr>
        <w:t xml:space="preserve">Case Study Research and Applications: Design and Methods</w:t>
      </w:r>
      <w:r>
        <w:rPr>
          <w:sz w:val="19"/>
          <w:szCs w:val="19"/>
        </w:rPr>
        <w:t xml:space="preserve">. 6th edn. Thousand Oaks, CA: Sage.</w:t>
      </w:r>
    </w:p>
    <w:p>
      <w:pPr>
        <w:spacing w:after="90" w:line="264"/>
        <w:ind w:left="480" w:hanging="480"/>
      </w:pPr>
      <w:r>
        <w:rPr>
          <w:sz w:val="19"/>
          <w:szCs w:val="19"/>
        </w:rPr>
        <w:t xml:space="preserve">Zeithaml, V.A. (1988) 'Consumer perceptions of price, quality, and value: a means-end model and synthesis of evidence', </w:t>
      </w:r>
      <w:r>
        <w:rPr>
          <w:i/>
          <w:iCs/>
          <w:sz w:val="19"/>
          <w:szCs w:val="19"/>
        </w:rPr>
        <w:t xml:space="preserve">Journal of Marketing</w:t>
      </w:r>
      <w:r>
        <w:rPr>
          <w:sz w:val="19"/>
          <w:szCs w:val="19"/>
        </w:rPr>
        <w:t xml:space="preserve">, 52(3), pp. 2-22.</w:t>
      </w:r>
    </w:p>
    <w:p>
      <w:pPr>
        <w:spacing w:after="90" w:line="264"/>
        <w:ind w:left="480" w:hanging="480"/>
      </w:pPr>
      <w:r>
        <w:rPr>
          <w:sz w:val="19"/>
          <w:szCs w:val="19"/>
        </w:rPr>
        <w:t xml:space="preserve">Zomerdijk, L.G. and Voss, C.A. (2010) 'Service design for experience-centric services', </w:t>
      </w:r>
      <w:r>
        <w:rPr>
          <w:i/>
          <w:iCs/>
          <w:sz w:val="19"/>
          <w:szCs w:val="19"/>
        </w:rPr>
        <w:t xml:space="preserve">Journal of Service Research</w:t>
      </w:r>
      <w:r>
        <w:rPr>
          <w:sz w:val="19"/>
          <w:szCs w:val="19"/>
        </w:rPr>
        <w:t xml:space="preserve">, 13(1), pp. 67-82.</w:t>
      </w:r>
    </w:p>
    <w:p>
      <w:pPr>
        <w:spacing w:after="80"/>
      </w:pPr>
    </w:p>
    <w:p>
      <w:pPr>
        <w:pStyle w:val="Heading2"/>
        <w:keepNext/>
      </w:pPr>
      <w:r>
        <w:t xml:space="preserve">Web and organisational sources (add "Accessed: 8 October 2026")</w:t>
      </w:r>
    </w:p>
    <w:p>
      <w:pPr>
        <w:spacing w:after="90" w:line="264"/>
        <w:ind w:left="480" w:hanging="480"/>
      </w:pPr>
      <w:r>
        <w:rPr>
          <w:sz w:val="19"/>
          <w:szCs w:val="19"/>
        </w:rPr>
        <w:t xml:space="preserve">Brand Finance coverage in Journal des Palaces (2026) on Meliá in the Brand Finance Hotels 50 2026. [Add article title, date and URL.]</w:t>
      </w:r>
    </w:p>
    <w:p>
      <w:pPr>
        <w:spacing w:after="90" w:line="264"/>
        <w:ind w:left="480" w:hanging="480"/>
      </w:pPr>
      <w:r>
        <w:rPr>
          <w:sz w:val="19"/>
          <w:szCs w:val="19"/>
        </w:rPr>
        <w:t xml:space="preserve">Breaking Travel News (2026) on the S&amp;P Global Sustainability Yearbook 2026. [Add article title, date and URL.]</w:t>
      </w:r>
    </w:p>
    <w:p>
      <w:pPr>
        <w:spacing w:after="90" w:line="264"/>
        <w:ind w:left="480" w:hanging="480"/>
      </w:pPr>
      <w:r>
        <w:rPr>
          <w:sz w:val="19"/>
          <w:szCs w:val="19"/>
        </w:rPr>
        <w:t xml:space="preserve">Business Traveller (2024) 'London’s Meliá White House introduces co-working spaces', 21 April. Available at: businesstraveller.com [add full URL].</w:t>
      </w:r>
    </w:p>
    <w:p>
      <w:pPr>
        <w:spacing w:after="90" w:line="264"/>
        <w:ind w:left="480" w:hanging="480"/>
      </w:pPr>
      <w:r>
        <w:rPr>
          <w:sz w:val="19"/>
          <w:szCs w:val="19"/>
        </w:rPr>
        <w:t xml:space="preserve">Camden Council (n.d.) </w:t>
      </w:r>
      <w:r>
        <w:rPr>
          <w:i/>
          <w:iCs/>
          <w:sz w:val="19"/>
          <w:szCs w:val="19"/>
        </w:rPr>
        <w:t xml:space="preserve">White House Hotel, Albany Street: listed building consent supporting documents</w:t>
      </w:r>
      <w:r>
        <w:rPr>
          <w:sz w:val="19"/>
          <w:szCs w:val="19"/>
        </w:rPr>
        <w:t xml:space="preserve">. Available at: camdocs.camden.gov.uk [add full URL].</w:t>
      </w:r>
    </w:p>
    <w:p>
      <w:pPr>
        <w:spacing w:after="90" w:line="264"/>
        <w:ind w:left="480" w:hanging="480"/>
      </w:pPr>
      <w:r>
        <w:rPr>
          <w:sz w:val="19"/>
          <w:szCs w:val="19"/>
        </w:rPr>
        <w:t xml:space="preserve">Historic England (n.d.) </w:t>
      </w:r>
      <w:r>
        <w:rPr>
          <w:i/>
          <w:iCs/>
          <w:sz w:val="19"/>
          <w:szCs w:val="19"/>
        </w:rPr>
        <w:t xml:space="preserve">National Heritage List for England: White House Hotel, Albany Street</w:t>
      </w:r>
      <w:r>
        <w:rPr>
          <w:sz w:val="19"/>
          <w:szCs w:val="19"/>
        </w:rPr>
        <w:t xml:space="preserve">. [Find the entry to confirm the Grade II listing; add list number and URL.]</w:t>
      </w:r>
    </w:p>
    <w:p>
      <w:pPr>
        <w:spacing w:after="90" w:line="264"/>
        <w:ind w:left="480" w:hanging="480"/>
      </w:pPr>
      <w:r>
        <w:rPr>
          <w:sz w:val="19"/>
          <w:szCs w:val="19"/>
        </w:rPr>
        <w:t xml:space="preserve">Meliá White House / Hospitality Net (2023) press release on the completed renovation. Available at: hospitalitynet.org/announcement/41009454.html.</w:t>
      </w:r>
    </w:p>
    <w:p>
      <w:pPr>
        <w:spacing w:after="100"/>
      </w:pPr>
    </w:p>
    <w:p>
      <w:pPr>
        <w:spacing w:after="90" w:before="0" w:line="276"/>
      </w:pPr>
      <w:r>
        <w:rPr>
          <w:sz w:val="19"/>
          <w:szCs w:val="19"/>
        </w:rPr>
        <w:t xml:space="preserve">Count: 34 academic sources plus 6 web and organisational sources, which gives 40 items against a target of 30 or more.</w:t>
      </w:r>
    </w:p>
    <w:p>
      <w:pPr>
        <w:pStyle w:val="Heading1"/>
        <w:pageBreakBefore/>
      </w:pPr>
      <w:r>
        <w:t xml:space="preserve">Part G. Checks, risks and work plan</w:t>
      </w:r>
    </w:p>
    <w:p>
      <w:pPr>
        <w:pStyle w:val="Heading2"/>
        <w:keepNext/>
      </w:pPr>
      <w:r>
        <w:t xml:space="preserve">Before you write: verify these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500"/>
        <w:gridCol w:w="9606"/>
      </w:tblGrid>
      <w:tr>
        <w:trPr>
          <w:cantSplit/>
        </w:trPr>
        <w:tc>
          <w:tcPr>
            <w:tcW w:type="dxa" w:w="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w:t>
            </w:r>
          </w:p>
        </w:tc>
        <w:tc>
          <w:tcPr>
            <w:tcW w:type="dxa" w:w="96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9"/>
                <w:szCs w:val="19"/>
              </w:rPr>
              <w:t xml:space="preserve">Visit date.</w:t>
            </w:r>
            <w:r>
              <w:rPr>
                <w:b w:val="false"/>
                <w:bCs w:val="false"/>
                <w:sz w:val="19"/>
                <w:szCs w:val="19"/>
              </w:rPr>
              <w:t xml:space="preserve"> Confirm 9 September 2025 against your notes.</w:t>
            </w:r>
          </w:p>
        </w:tc>
      </w:tr>
      <w:tr>
        <w:trPr>
          <w:cantSplit/>
        </w:trPr>
        <w:tc>
          <w:tcPr>
            <w:tcW w:type="dxa" w:w="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w:t>
            </w:r>
          </w:p>
        </w:tc>
        <w:tc>
          <w:tcPr>
            <w:tcW w:type="dxa" w:w="96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9"/>
                <w:szCs w:val="19"/>
              </w:rPr>
              <w:t xml:space="preserve">Room count.</w:t>
            </w:r>
            <w:r>
              <w:rPr>
                <w:b w:val="false"/>
                <w:bCs w:val="false"/>
                <w:sz w:val="19"/>
                <w:szCs w:val="19"/>
              </w:rPr>
              <w:t xml:space="preserve"> 548 against 581: report both, name both sources, do not pick silently.</w:t>
            </w:r>
          </w:p>
        </w:tc>
      </w:tr>
      <w:tr>
        <w:trPr>
          <w:cantSplit/>
        </w:trPr>
        <w:tc>
          <w:tcPr>
            <w:tcW w:type="dxa" w:w="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w:t>
            </w:r>
          </w:p>
        </w:tc>
        <w:tc>
          <w:tcPr>
            <w:tcW w:type="dxa" w:w="96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9"/>
                <w:szCs w:val="19"/>
              </w:rPr>
              <w:t xml:space="preserve">Listing.</w:t>
            </w:r>
            <w:r>
              <w:rPr>
                <w:b w:val="false"/>
                <w:bCs w:val="false"/>
                <w:sz w:val="19"/>
                <w:szCs w:val="19"/>
              </w:rPr>
              <w:t xml:space="preserve"> Confirm Grade II against Historic England as well as the Camden document.</w:t>
            </w:r>
          </w:p>
        </w:tc>
      </w:tr>
      <w:tr>
        <w:trPr>
          <w:cantSplit/>
        </w:trPr>
        <w:tc>
          <w:tcPr>
            <w:tcW w:type="dxa" w:w="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w:t>
            </w:r>
          </w:p>
        </w:tc>
        <w:tc>
          <w:tcPr>
            <w:tcW w:type="dxa" w:w="96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9"/>
                <w:szCs w:val="19"/>
              </w:rPr>
              <w:t xml:space="preserve">Brand claims.</w:t>
            </w:r>
            <w:r>
              <w:rPr>
                <w:b w:val="false"/>
                <w:bCs w:val="false"/>
                <w:sz w:val="19"/>
                <w:szCs w:val="19"/>
              </w:rPr>
              <w:t xml:space="preserve"> The 65% premium and luxury share and the sustainability ranking are third-party or corporate claims. Attribute, do not assert.</w:t>
            </w:r>
          </w:p>
        </w:tc>
      </w:tr>
      <w:tr>
        <w:trPr>
          <w:cantSplit/>
        </w:trPr>
        <w:tc>
          <w:tcPr>
            <w:tcW w:type="dxa" w:w="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w:t>
            </w:r>
          </w:p>
        </w:tc>
        <w:tc>
          <w:tcPr>
            <w:tcW w:type="dxa" w:w="96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9"/>
                <w:szCs w:val="19"/>
              </w:rPr>
              <w:t xml:space="preserve">Staff comments.</w:t>
            </w:r>
            <w:r>
              <w:rPr>
                <w:b w:val="false"/>
                <w:bCs w:val="false"/>
                <w:sz w:val="19"/>
                <w:szCs w:val="19"/>
              </w:rPr>
              <w:t xml:space="preserve"> Paraphrase; the session was informal and careers-focused.</w:t>
            </w:r>
          </w:p>
        </w:tc>
      </w:tr>
      <w:tr>
        <w:trPr>
          <w:cantSplit/>
        </w:trPr>
        <w:tc>
          <w:tcPr>
            <w:tcW w:type="dxa" w:w="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w:t>
            </w:r>
          </w:p>
        </w:tc>
        <w:tc>
          <w:tcPr>
            <w:tcW w:type="dxa" w:w="96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9"/>
                <w:szCs w:val="19"/>
              </w:rPr>
              <w:t xml:space="preserve">Costs.</w:t>
            </w:r>
            <w:r>
              <w:rPr>
                <w:b w:val="false"/>
                <w:bCs w:val="false"/>
                <w:sz w:val="19"/>
                <w:szCs w:val="19"/>
              </w:rPr>
              <w:t xml:space="preserve"> Every cost and timing in Part E is your estimate: label it.</w:t>
            </w:r>
          </w:p>
        </w:tc>
      </w:tr>
      <w:tr>
        <w:trPr>
          <w:cantSplit/>
        </w:trPr>
        <w:tc>
          <w:tcPr>
            <w:tcW w:type="dxa" w:w="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w:t>
            </w:r>
          </w:p>
        </w:tc>
        <w:tc>
          <w:tcPr>
            <w:tcW w:type="dxa" w:w="96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9"/>
                <w:szCs w:val="19"/>
              </w:rPr>
              <w:t xml:space="preserve">References.</w:t>
            </w:r>
            <w:r>
              <w:rPr>
                <w:b w:val="false"/>
                <w:bCs w:val="false"/>
                <w:sz w:val="19"/>
                <w:szCs w:val="19"/>
              </w:rPr>
              <w:t xml:space="preserve"> Check each edition and page range; remove anything you do not cite.</w:t>
            </w:r>
          </w:p>
        </w:tc>
      </w:tr>
      <w:tr>
        <w:trPr>
          <w:cantSplit/>
        </w:trPr>
        <w:tc>
          <w:tcPr>
            <w:tcW w:type="dxa" w:w="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sz w:val="19"/>
                <w:szCs w:val="19"/>
              </w:rPr>
              <w:t xml:space="preserve">☐</w:t>
            </w:r>
          </w:p>
        </w:tc>
        <w:tc>
          <w:tcPr>
            <w:tcW w:type="dxa" w:w="96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9"/>
                <w:szCs w:val="19"/>
              </w:rPr>
              <w:t xml:space="preserve">Photos.</w:t>
            </w:r>
            <w:r>
              <w:rPr>
                <w:b w:val="false"/>
                <w:bCs w:val="false"/>
                <w:sz w:val="19"/>
                <w:szCs w:val="19"/>
              </w:rPr>
              <w:t xml:space="preserve"> No identifiable staff or guests; numbered, captioned, cited in the text.</w:t>
            </w:r>
          </w:p>
        </w:tc>
      </w:tr>
    </w:tbl>
    <w:p>
      <w:pPr>
        <w:spacing w:after="160"/>
      </w:pPr>
    </w:p>
    <w:p>
      <w:pPr>
        <w:pStyle w:val="Heading2"/>
        <w:keepNext/>
      </w:pPr>
      <w:r>
        <w:t xml:space="preserve">Risks to your own report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000"/>
        <w:gridCol w:w="7106"/>
      </w:tblGrid>
      <w:tr>
        <w:trPr>
          <w:tblHeader/>
        </w:trPr>
        <w:tc>
          <w:tcPr>
            <w:tcW w:type="dxa" w:w="30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Risk</w:t>
            </w:r>
          </w:p>
        </w:tc>
        <w:tc>
          <w:tcPr>
            <w:tcW w:type="dxa" w:w="7106"/>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How to handle it</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Sounds like a description of the hotel</w:t>
            </w:r>
          </w:p>
        </w:tc>
        <w:tc>
          <w:tcPr>
            <w:tcW w:type="dxa" w:w="71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Every paragraph: claim, lens, evidence, verdict. Delete any sentence that only describes.</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Too many theories</w:t>
            </w:r>
          </w:p>
        </w:tc>
        <w:tc>
          <w:tcPr>
            <w:tcW w:type="dxa" w:w="71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Stick to the six lenses; reserve lenses get one sentence at most.</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Over-claiming from 36 reviews</w:t>
            </w:r>
          </w:p>
        </w:tc>
        <w:tc>
          <w:tcPr>
            <w:tcW w:type="dxa" w:w="71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Call it an indicative sample and say what it cannot show.</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Corporate claims treated as fact</w:t>
            </w:r>
          </w:p>
        </w:tc>
        <w:tc>
          <w:tcPr>
            <w:tcW w:type="dxa" w:w="71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Use "according to" and note the source type.</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Recommendations that float free</w:t>
            </w:r>
          </w:p>
        </w:tc>
        <w:tc>
          <w:tcPr>
            <w:tcW w:type="dxa" w:w="71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Each one cites a figure or a ledger row and a lens.</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Over the word limit</w:t>
            </w:r>
          </w:p>
        </w:tc>
        <w:tc>
          <w:tcPr>
            <w:tcW w:type="dxa" w:w="71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Tables and ledgers sit in appendices; quote only the key finding in the text.</w:t>
            </w:r>
          </w:p>
        </w:tc>
      </w:tr>
    </w:tbl>
    <w:p>
      <w:pPr>
        <w:spacing w:after="160"/>
      </w:pPr>
    </w:p>
    <w:p>
      <w:pPr>
        <w:pStyle w:val="Heading2"/>
        <w:keepNext/>
      </w:pPr>
      <w:r>
        <w:t xml:space="preserve">Appendix plan</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700"/>
        <w:gridCol w:w="4400"/>
        <w:gridCol w:w="4006"/>
      </w:tblGrid>
      <w:tr>
        <w:trPr>
          <w:tblHeader/>
        </w:trPr>
        <w:tc>
          <w:tcPr>
            <w:tcW w:type="dxa" w:w="17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Appendix</w:t>
            </w:r>
          </w:p>
        </w:tc>
        <w:tc>
          <w:tcPr>
            <w:tcW w:type="dxa" w:w="44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Contents</w:t>
            </w:r>
          </w:p>
        </w:tc>
        <w:tc>
          <w:tcPr>
            <w:tcW w:type="dxa" w:w="4006"/>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Cited from</w:t>
            </w:r>
          </w:p>
        </w:tc>
      </w:tr>
      <w:tr>
        <w:trPr>
          <w:cantSplit/>
        </w:trPr>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1</w:t>
            </w:r>
          </w:p>
        </w:tc>
        <w:tc>
          <w:tcPr>
            <w:tcW w:type="dxa" w:w="4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Photo evidence wall (Figs. 1 to 8, with captions)</w:t>
            </w:r>
          </w:p>
        </w:tc>
        <w:tc>
          <w:tcPr>
            <w:tcW w:type="dxa" w:w="40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Chapters 4, 5, 6</w:t>
            </w:r>
          </w:p>
        </w:tc>
      </w:tr>
      <w:tr>
        <w:trPr>
          <w:cantSplit/>
        </w:trPr>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2</w:t>
            </w:r>
          </w:p>
        </w:tc>
        <w:tc>
          <w:tcPr>
            <w:tcW w:type="dxa" w:w="4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Source map</w:t>
            </w:r>
          </w:p>
        </w:tc>
        <w:tc>
          <w:tcPr>
            <w:tcW w:type="dxa" w:w="40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Chapter 2</w:t>
            </w:r>
          </w:p>
        </w:tc>
      </w:tr>
      <w:tr>
        <w:trPr>
          <w:cantSplit/>
        </w:trPr>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3</w:t>
            </w:r>
          </w:p>
        </w:tc>
        <w:tc>
          <w:tcPr>
            <w:tcW w:type="dxa" w:w="4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Fact check, including the room-count conflict</w:t>
            </w:r>
          </w:p>
        </w:tc>
        <w:tc>
          <w:tcPr>
            <w:tcW w:type="dxa" w:w="40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Chapters 1, 4</w:t>
            </w:r>
          </w:p>
        </w:tc>
      </w:tr>
      <w:tr>
        <w:trPr>
          <w:cantSplit/>
        </w:trPr>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4</w:t>
            </w:r>
          </w:p>
        </w:tc>
        <w:tc>
          <w:tcPr>
            <w:tcW w:type="dxa" w:w="4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Review sample, coding sheet and chart</w:t>
            </w:r>
          </w:p>
        </w:tc>
        <w:tc>
          <w:tcPr>
            <w:tcW w:type="dxa" w:w="40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Chapter 5</w:t>
            </w:r>
          </w:p>
        </w:tc>
      </w:tr>
      <w:tr>
        <w:trPr>
          <w:cantSplit/>
        </w:trPr>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5</w:t>
            </w:r>
          </w:p>
        </w:tc>
        <w:tc>
          <w:tcPr>
            <w:tcW w:type="dxa" w:w="4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Promise-versus-proof ledger</w:t>
            </w:r>
          </w:p>
        </w:tc>
        <w:tc>
          <w:tcPr>
            <w:tcW w:type="dxa" w:w="40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Chapter 5</w:t>
            </w:r>
          </w:p>
        </w:tc>
      </w:tr>
      <w:tr>
        <w:trPr>
          <w:cantSplit/>
        </w:trPr>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6</w:t>
            </w:r>
          </w:p>
        </w:tc>
        <w:tc>
          <w:tcPr>
            <w:tcW w:type="dxa" w:w="4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Recommendation detail and 90-day timeline</w:t>
            </w:r>
          </w:p>
        </w:tc>
        <w:tc>
          <w:tcPr>
            <w:tcW w:type="dxa" w:w="40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Chapter 6</w:t>
            </w:r>
          </w:p>
        </w:tc>
      </w:tr>
    </w:tbl>
    <w:p>
      <w:pPr>
        <w:spacing w:after="160"/>
      </w:pPr>
    </w:p>
    <w:p>
      <w:pPr>
        <w:pStyle w:val="Heading2"/>
        <w:keepNext/>
      </w:pPr>
      <w:r>
        <w:t xml:space="preserve">Seven-day work plan</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300"/>
        <w:gridCol w:w="8806"/>
      </w:tblGrid>
      <w:tr>
        <w:trPr>
          <w:tblHeader/>
        </w:trPr>
        <w:tc>
          <w:tcPr>
            <w:tcW w:type="dxa" w:w="1300"/>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Day</w:t>
            </w:r>
          </w:p>
        </w:tc>
        <w:tc>
          <w:tcPr>
            <w:tcW w:type="dxa" w:w="8806"/>
            <w:tcBorders>
              <w:top w:val="single" w:color="CBD5E1" w:sz="4"/>
              <w:left w:val="single" w:color="CBD5E1" w:sz="4"/>
              <w:bottom w:val="single" w:color="CBD5E1" w:sz="4"/>
              <w:right w:val="single" w:color="CBD5E1" w:sz="4"/>
            </w:tcBorders>
            <w:shd w:fill="1F2A44" w:color="auto" w:val="clear"/>
            <w:tcMar>
              <w:top w:type="dxa" w:w="70"/>
              <w:left w:type="dxa" w:w="110"/>
              <w:bottom w:type="dxa" w:w="70"/>
              <w:right w:type="dxa" w:w="110"/>
            </w:tcMar>
          </w:tcPr>
          <w:p>
            <w:pPr>
              <w:spacing w:after="50" w:line="252"/>
            </w:pPr>
            <w:r>
              <w:rPr>
                <w:b/>
                <w:bCs/>
                <w:color w:val="FFFFFF"/>
                <w:sz w:val="18"/>
                <w:szCs w:val="18"/>
              </w:rPr>
              <w:t xml:space="preserve">Task</w:t>
            </w:r>
          </w:p>
        </w:tc>
      </w:tr>
      <w:tr>
        <w:trPr>
          <w:cantSplit/>
        </w:trPr>
        <w:tc>
          <w:tcPr>
            <w:tcW w:type="dxa" w:w="1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1</w:t>
            </w:r>
          </w:p>
        </w:tc>
        <w:tc>
          <w:tcPr>
            <w:tcW w:type="dxa" w:w="88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Collect and code the 36 reviews; build the chart.</w:t>
            </w:r>
          </w:p>
        </w:tc>
      </w:tr>
      <w:tr>
        <w:trPr>
          <w:cantSplit/>
        </w:trPr>
        <w:tc>
          <w:tcPr>
            <w:tcW w:type="dxa" w:w="1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2</w:t>
            </w:r>
          </w:p>
        </w:tc>
        <w:tc>
          <w:tcPr>
            <w:tcW w:type="dxa" w:w="88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Sort photos into the evidence wall; write captions.</w:t>
            </w:r>
          </w:p>
        </w:tc>
      </w:tr>
      <w:tr>
        <w:trPr>
          <w:cantSplit/>
        </w:trPr>
        <w:tc>
          <w:tcPr>
            <w:tcW w:type="dxa" w:w="1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3</w:t>
            </w:r>
          </w:p>
        </w:tc>
        <w:tc>
          <w:tcPr>
            <w:tcW w:type="dxa" w:w="88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Verify every fact and reference; fix the source list.</w:t>
            </w:r>
          </w:p>
        </w:tc>
      </w:tr>
      <w:tr>
        <w:trPr>
          <w:cantSplit/>
        </w:trPr>
        <w:tc>
          <w:tcPr>
            <w:tcW w:type="dxa" w:w="1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4</w:t>
            </w:r>
          </w:p>
        </w:tc>
        <w:tc>
          <w:tcPr>
            <w:tcW w:type="dxa" w:w="88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Write Chapters 3 and 4 (the 45-mark core).</w:t>
            </w:r>
          </w:p>
        </w:tc>
      </w:tr>
      <w:tr>
        <w:trPr>
          <w:cantSplit/>
        </w:trPr>
        <w:tc>
          <w:tcPr>
            <w:tcW w:type="dxa" w:w="1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5</w:t>
            </w:r>
          </w:p>
        </w:tc>
        <w:tc>
          <w:tcPr>
            <w:tcW w:type="dxa" w:w="88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Write Chapters 5 and 6 from your own data.</w:t>
            </w:r>
          </w:p>
        </w:tc>
      </w:tr>
      <w:tr>
        <w:trPr>
          <w:cantSplit/>
        </w:trPr>
        <w:tc>
          <w:tcPr>
            <w:tcW w:type="dxa" w:w="1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6</w:t>
            </w:r>
          </w:p>
        </w:tc>
        <w:tc>
          <w:tcPr>
            <w:tcW w:type="dxa" w:w="88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Write Chapters 1, 2 and 7 so they match what you actually argued.</w:t>
            </w:r>
          </w:p>
        </w:tc>
      </w:tr>
      <w:tr>
        <w:trPr>
          <w:cantSplit/>
        </w:trPr>
        <w:tc>
          <w:tcPr>
            <w:tcW w:type="dxa" w:w="1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bCs/>
                <w:sz w:val="18"/>
                <w:szCs w:val="18"/>
              </w:rPr>
              <w:t xml:space="preserve">7</w:t>
            </w:r>
          </w:p>
        </w:tc>
        <w:tc>
          <w:tcPr>
            <w:tcW w:type="dxa" w:w="88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50" w:line="252"/>
            </w:pPr>
            <w:r>
              <w:rPr>
                <w:b w:val="false"/>
                <w:bCs w:val="false"/>
                <w:sz w:val="18"/>
                <w:szCs w:val="18"/>
              </w:rPr>
              <w:t xml:space="preserve">Cut to 3,000 words, add the word count to the title page, check Harvard format and appendix numbering.</w:t>
            </w:r>
          </w:p>
        </w:tc>
      </w:tr>
    </w:tbl>
    <w:p>
      <w:pPr>
        <w:spacing w:after="16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E6F4F1" w:sz="2"/>
              <w:left w:val="single" w:color="0F766E" w:sz="24"/>
              <w:bottom w:val="single" w:color="E6F4F1" w:sz="2"/>
              <w:right w:val="single" w:color="E6F4F1" w:sz="2"/>
            </w:tcBorders>
            <w:shd w:fill="E6F4F1" w:color="auto" w:val="clear"/>
            <w:tcMar>
              <w:top w:type="dxa" w:w="100"/>
              <w:left w:type="dxa" w:w="180"/>
              <w:bottom w:type="dxa" w:w="100"/>
              <w:right w:type="dxa" w:w="160"/>
            </w:tcMar>
          </w:tcPr>
          <w:p>
            <w:pPr>
              <w:spacing w:after="60"/>
            </w:pPr>
            <w:r>
              <w:rPr>
                <w:b/>
                <w:bCs/>
                <w:color w:val="0F766E"/>
                <w:sz w:val="20"/>
                <w:szCs w:val="20"/>
              </w:rPr>
              <w:t xml:space="preserve">Style reminders</w:t>
            </w:r>
          </w:p>
          <w:p>
            <w:pPr>
              <w:pStyle w:val="ListParagraph"/>
              <w:numPr>
                <w:ilvl w:val="0"/>
                <w:numId w:val="2"/>
              </w:numPr>
              <w:spacing w:after="50" w:line="264"/>
            </w:pPr>
            <w:r>
              <w:rPr>
                <w:sz w:val="19"/>
                <w:szCs w:val="19"/>
              </w:rPr>
              <w:t xml:space="preserve">Compare authors in the same paragraph: "X argues A, whereas Y contends B; this report adopts C because the available evidence is perception-based."</w:t>
            </w:r>
          </w:p>
          <w:p>
            <w:pPr>
              <w:pStyle w:val="ListParagraph"/>
              <w:numPr>
                <w:ilvl w:val="0"/>
                <w:numId w:val="2"/>
              </w:numPr>
              <w:spacing w:after="50" w:line="264"/>
            </w:pPr>
            <w:r>
              <w:rPr>
                <w:sz w:val="19"/>
                <w:szCs w:val="19"/>
              </w:rPr>
              <w:t xml:space="preserve">Use consultancy vocabulary: diagnosis, touchpoint, strategic fit, positioning, value proposition, service recovery, brand consistency.</w:t>
            </w:r>
          </w:p>
          <w:p>
            <w:pPr>
              <w:pStyle w:val="ListParagraph"/>
              <w:numPr>
                <w:ilvl w:val="0"/>
                <w:numId w:val="2"/>
              </w:numPr>
              <w:spacing w:after="50" w:line="264"/>
            </w:pPr>
            <w:r>
              <w:rPr>
                <w:sz w:val="19"/>
                <w:szCs w:val="19"/>
              </w:rPr>
              <w:t xml:space="preserve">Put every table in an appendix and quote the key number in the text.</w:t>
            </w:r>
          </w:p>
        </w:tc>
      </w:tr>
    </w:tbl>
    <w:sectPr>
      <w:headerReference w:type="default" r:id="rId7"/>
      <w:footerReference w:type="default" r:id="rId8"/>
      <w:pgSz w:w="11906" w:h="16838"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Page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6"/>
        <w:szCs w:val="16"/>
      </w:rPr>
      <w:t xml:space="preserve">Promise and Proof | Report blueprint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F2A44" w:color="auto" w:val="clear"/>
      <w:spacing w:after="200" w:before="0"/>
      <w:ind w:left="0"/>
      <w:outlineLvl w:val="0"/>
    </w:pPr>
    <w:rPr>
      <w:rFonts w:ascii="Georgia" w:cs="Georgia" w:eastAsia="Georgia" w:hAnsi="Georgia"/>
      <w:b/>
      <w:bCs/>
      <w:color w:val="FFFFFF"/>
      <w:sz w:val="32"/>
      <w:szCs w:val="32"/>
    </w:rPr>
  </w:style>
  <w:style w:type="paragraph" w:styleId="Heading2">
    <w:name w:val="Heading 2"/>
    <w:basedOn w:val="Normal"/>
    <w:next w:val="Normal"/>
    <w:qFormat/>
    <w:pPr>
      <w:pBdr>
        <w:bottom w:val="single" w:color="CBD5E1" w:sz="6" w:space="2"/>
      </w:pBdr>
      <w:spacing w:after="100" w:before="200"/>
      <w:outlineLvl w:val="1"/>
    </w:pPr>
    <w:rPr>
      <w:rFonts w:ascii="Georgia" w:cs="Georgia" w:eastAsia="Georgia" w:hAnsi="Georgia"/>
      <w:b/>
      <w:bCs/>
      <w:color w:val="0F766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Promise and Proof - Report Blueprint v2</dc:title>
  <dc:creator>Draft</dc:creator>
  <cp:lastModifiedBy>Un-named</cp:lastModifiedBy>
  <cp:revision>1</cp:revision>
  <dcterms:created xsi:type="dcterms:W3CDTF">2026-10-08T05:41:19.999Z</dcterms:created>
  <dcterms:modified xsi:type="dcterms:W3CDTF">2026-10-08T05:41:19.999Z</dcterms:modified>
</cp:coreProperties>
</file>

<file path=docProps/custom.xml><?xml version="1.0" encoding="utf-8"?>
<Properties xmlns="http://schemas.openxmlformats.org/officeDocument/2006/custom-properties" xmlns:vt="http://schemas.openxmlformats.org/officeDocument/2006/docPropsVTypes"/>
</file>