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 A: Professional Portfolio (submission text)</w:t>
      </w:r>
    </w:p>
    <w:p>
      <w:r>
        <w:rPr>
          <w:rFonts w:ascii="Arial" w:hAnsi="Arial"/>
          <w:sz w:val="24"/>
        </w:rPr>
        <w:t>Name: Apsara Sunuwar</w:t>
      </w:r>
    </w:p>
    <w:p>
      <w:r>
        <w:rPr>
          <w:rFonts w:ascii="Arial" w:hAnsi="Arial"/>
          <w:sz w:val="24"/>
        </w:rPr>
        <w:t>Role: [YOU SUPPLY: programme / role]</w:t>
      </w:r>
    </w:p>
    <w:p>
      <w:r>
        <w:rPr>
          <w:rFonts w:ascii="Arial" w:hAnsi="Arial"/>
          <w:sz w:val="24"/>
        </w:rPr>
        <w:t>Date: [YOU SUPPLY: submission date]</w:t>
      </w:r>
    </w:p>
    <w:p>
      <w:r>
        <w:rPr>
          <w:rFonts w:ascii="Arial" w:hAnsi="Arial"/>
          <w:sz w:val="24"/>
        </w:rPr>
        <w:t>Title: Building the conditions for independent judgement: identity, an AI-supported placement case, and a career plan</w:t>
      </w:r>
    </w:p>
    <w:p>
      <w:r>
        <w:t>Note: submit Part A only. Delete Part B (the report) and all [YOU SUPPLY] notes first.</w:t>
      </w:r>
    </w:p>
    <w:p>
      <w:pPr>
        <w:pStyle w:val="Heading1"/>
      </w:pPr>
      <w:r>
        <w:t>1. Professional Identity</w:t>
      </w:r>
    </w:p>
    <w:p>
      <w:pPr>
        <w:pStyle w:val="Heading2"/>
      </w:pPr>
      <w:r>
        <w:t>1.1 Position and orientation</w:t>
      </w:r>
    </w:p>
    <w:p>
      <w:r>
        <w:rPr>
          <w:rFonts w:ascii="Arial" w:hAnsi="Arial"/>
          <w:sz w:val="24"/>
        </w:rPr>
        <w:t>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from a different direction: the quality of care follows the conditions in which people are allowed to think, question and speak. By independent judgement I mean a decision I can explain, defend and revise, not a decision made alone.</w:t>
      </w:r>
    </w:p>
    <w:p>
      <w:r>
        <w:rPr>
          <w:rFonts w:ascii="Arial" w:hAnsi="Arial"/>
          <w:sz w:val="24"/>
        </w:rPr>
        <w:t>This portfolio tests that claim. Section 1 traces where it comes from. Section 2 examines it through one placement episode in which an AI-supported imaging tool's flag appeared inconsistent and I could not say exactly why. Section 3 sets out a career plan built from what that analysis showed I still need to develop.</w:t>
      </w:r>
    </w:p>
    <w:p>
      <w:pPr>
        <w:pStyle w:val="Heading2"/>
      </w:pPr>
      <w:r>
        <w:t>1.2 Learning that changed my thinking</w:t>
      </w:r>
    </w:p>
    <w:p>
      <w:r>
        <w:rPr>
          <w:rFonts w:ascii="Arial" w:hAnsi="Arial"/>
          <w:b/>
          <w:sz w:val="24"/>
        </w:rPr>
        <w:t>Health and access are structurally produced.</w:t>
      </w:r>
      <w:r>
        <w:rPr>
          <w:rFonts w:ascii="Arial" w:hAnsi="Arial"/>
          <w:sz w:val="24"/>
        </w:rPr>
        <w:t xml:space="preserve"> I once believed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such as a missed appointment, may be one the service built. [YOU SUPPLY: one decision or piece of feedback showing this change, 20 words.]</w:t>
      </w:r>
    </w:p>
    <w:p>
      <w:r>
        <w:rPr>
          <w:rFonts w:ascii="Arial" w:hAnsi="Arial"/>
          <w:b/>
          <w:sz w:val="24"/>
        </w:rPr>
        <w:t>Accountability is individual and systemic.</w:t>
      </w:r>
      <w:r>
        <w:rPr>
          <w:rFonts w:ascii="Arial" w:hAnsi="Arial"/>
          <w:sz w:val="24"/>
        </w:rPr>
        <w:t xml:space="preserve"> 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This avoids two errors: blaming individuals for failures that systems made likely, and excusing individuals by pointing to systems. [YOU SUPPLY: one example from your work, 20 words.]</w:t>
      </w:r>
    </w:p>
    <w:p>
      <w:r>
        <w:rPr>
          <w:rFonts w:ascii="Arial" w:hAnsi="Arial"/>
          <w:b/>
          <w:sz w:val="24"/>
        </w:rPr>
        <w:t>Care is delivered by teams and systems.</w:t>
      </w:r>
      <w:r>
        <w:rPr>
          <w:rFonts w:ascii="Arial" w:hAnsi="Arial"/>
          <w:sz w:val="24"/>
        </w:rPr>
        <w:t xml:space="preserve"> 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begins with how I hand over, report and respond when a colleague raises a doubt. [YOU SUPPLY: one example or supervisor comment, 20 words.]</w:t>
      </w:r>
    </w:p>
    <w:p>
      <w:pPr>
        <w:pStyle w:val="Heading2"/>
      </w:pPr>
      <w:r>
        <w:t>1.3 Values, attitudes and standards</w:t>
      </w:r>
    </w:p>
    <w:p>
      <w:r>
        <w:rPr>
          <w:rFonts w:ascii="Arial" w:hAnsi="Arial"/>
          <w:sz w:val="24"/>
        </w:rPr>
        <w:t>Dignity and choice often conflict with safety. I hold all three, so the useful question is how they are weighed. [YOU SUPPLY: one anonymised care-home incident, two sentences, my own learning only, no identifiable detail.]</w:t>
      </w:r>
    </w:p>
    <w:p>
      <w:r>
        <w:rPr>
          <w:rFonts w:ascii="Arial" w:hAnsi="Arial"/>
          <w:sz w:val="24"/>
        </w:rPr>
        <w:t>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states what workers must do without telling them how to weigh a conflict.</w:t>
      </w:r>
    </w:p>
    <w:p>
      <w:r>
        <w:rPr>
          <w:rFonts w:ascii="Arial" w:hAnsi="Arial"/>
          <w:sz w:val="24"/>
        </w:rPr>
        <w:t>Nepal and the UK show different costs. UK documentation and safeguarding systems create traceability and protection, but can consume time and, where fear of blame dominates, encourage defensive practice (Berwick, 2013). In the Nepali hospital settings I knew, resource limits meant that judgement and relationships carried more of the load, and protection depended more on individual conscience (Ministry of Health and Population, 2023). Neither is superior; each protects different things. Both generalisations come from limited settings, so I hold them as questions to test, not as findings about either country.</w:t>
      </w:r>
    </w:p>
    <w:p>
      <w:r>
        <w:rPr>
          <w:rFonts w:ascii="Arial" w:hAnsi="Arial"/>
          <w:sz w:val="24"/>
        </w:rPr>
        <w:t>The standard I now hold myself to: when dignity and safety conflict, I record my reasoning and the person's own view, and consult a senior colleague before restricting a choice.</w:t>
      </w:r>
    </w:p>
    <w:p>
      <w:pPr>
        <w:pStyle w:val="Heading2"/>
      </w:pPr>
      <w:r>
        <w:t>1.4 Reflective method and competency documentation</w:t>
      </w:r>
    </w:p>
    <w:p>
      <w:r>
        <w:rPr>
          <w:rFonts w:ascii="Arial" w:hAnsi="Arial"/>
          <w:sz w:val="24"/>
        </w:rPr>
        <w:t>Gibbs (1988) is structured and accessible, but is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poorly with complex, person-centred care, so I grade each source by what it can show. I map my competencies to the Care Certificate standards (Skills for Care, Health Education England and Skills for Health, 2015) and the Healthcare Leadership Model (NHS Leadership Academy, 2013), remembering that a record of attendance is not competence (3.2).</w:t>
      </w:r>
    </w:p>
    <w:p>
      <w:pPr>
        <w:pStyle w:val="Heading2"/>
      </w:pPr>
      <w:r>
        <w:t>1.5 Synthesis and bridge</w:t>
      </w:r>
    </w:p>
    <w:p>
      <w:r>
        <w:rPr>
          <w:rFonts w:ascii="Arial" w:hAnsi="Arial"/>
          <w:sz w:val="24"/>
        </w:rPr>
        <w:t>I now claim that I act as a practitioner who notices, questions and escalates, and who records the reasoning so that others can learn from it. That claim can be tested against three observable behaviours: what I did when unsure, what I recorded, and whether I learned what happened next. The case in Section 2 asks whether, under uncertainty and with limited status, I did so, and where my practice fell short.</w:t>
      </w:r>
    </w:p>
    <w:p>
      <w:pPr>
        <w:pStyle w:val="Heading1"/>
      </w:pPr>
      <w:r>
        <w:t>2. Experience or Case Analysis</w:t>
      </w:r>
    </w:p>
    <w:p>
      <w:pPr>
        <w:pStyle w:val="Heading2"/>
      </w:pPr>
      <w:r>
        <w:t>2.1 Case introduction, relevance and analytical approach</w:t>
      </w:r>
    </w:p>
    <w:p>
      <w:r>
        <w:rPr>
          <w:rFonts w:ascii="Arial" w:hAnsi="Arial"/>
          <w:sz w:val="24"/>
        </w:rPr>
        <w:t>This portfolio reflects on one episode from a formal, several-week college placement on an NHS hospital inpatient ward. The duration and defined task make it substantial, and it is a reflection on my own learning, not data collection. My task was to support documentation using the output of an AI-supported imaging tool. One flag appeared inconsistent, although I was unable to say exactly why. I told my supervisor, saw no clear follow-up, and do not know the outcome. Details are altered and anonymised, and my college contact and the placement provider gave written permission.</w:t>
      </w:r>
    </w:p>
    <w:p>
      <w:r>
        <w:rPr>
          <w:rFonts w:ascii="Arial" w:hAnsi="Arial"/>
          <w:sz w:val="24"/>
        </w:rPr>
        <w:t>AI in diagnostics is live NHS policy. NHSX (2019) set out how to adopt it safely, and the Department of Health and Social Care (2025) anticipates wider use. Yet no statute regulates healthcare AI as such: software with a medical purpose is regulated as a medical device (Medical Devices Regulations 2002; MHRA, 2023), while safe local use falls to clinical safety standards and provider governance (NHS England, 2018). Whether this combination protects patients adequately is contestable. The case matters because it sits where policy ambition meets the least experienced person on the ward.</w:t>
      </w:r>
    </w:p>
    <w:p>
      <w:r>
        <w:rPr>
          <w:rFonts w:ascii="Arial" w:hAnsi="Arial"/>
          <w:sz w:val="24"/>
        </w:rPr>
        <w:t>I analyse three issues that follow an uncertain output from tool to record to person: accuracy, safety and accountability (2.2); communication, escalation and speaking up (2.3); and records integrity, transparency and confidentiality (2.4). The lenses are a systems view of safety (Reason, 2000), the automation bias literature, psychological safety (Edmondson, 1999) and, for my own judgement, tacit knowledge (Polanyi, 1966). I use Gibbs (1988) as a spine, offsetting its descriptive tendency as explained in 1.4. The reflection has limits that I treat as part of the analysis. I discuss the law of England, separate binding law from guidance, and offer legal statements as my reading of the cited sources, not advice. I grade sources by what they can show: statute and regulations bind, guidance advises, and studies vary in setting and design. I describe only what I personally saw and did, I do not claim the tool was wrong or non-compliant, and I do not evaluate the service or colleagues.</w:t>
      </w:r>
    </w:p>
    <w:p>
      <w:pPr>
        <w:pStyle w:val="Heading2"/>
      </w:pPr>
      <w:r>
        <w:t>2.2 Issue 1: Accuracy, safety and accountability</w:t>
      </w:r>
    </w:p>
    <w:p>
      <w:r>
        <w:rPr>
          <w:rFonts w:ascii="Arial" w:hAnsi="Arial"/>
          <w:b/>
          <w:sz w:val="24"/>
        </w:rPr>
        <w:t>What I did.</w:t>
      </w:r>
      <w:r>
        <w:rPr>
          <w:rFonts w:ascii="Arial" w:hAnsi="Arial"/>
          <w:sz w:val="24"/>
        </w:rPr>
        <w:t xml:space="preserve"> I used the tool's output to help complete documentation. A flag appeared inconsistent; I could not say why, only that it seemed off. I knew what the tool displayed. I did not know how it had been validated, what population it reflected, or whether the ward had checked it locally. I told my supervisor. [YOU SUPPLY: one sentence on what you did with the documentation entry.]</w:t>
      </w:r>
    </w:p>
    <w:p>
      <w:r>
        <w:rPr>
          <w:rFonts w:ascii="Arial" w:hAnsi="Arial"/>
          <w:b/>
          <w:sz w:val="24"/>
        </w:rPr>
        <w:t>The case for the tool.</w:t>
      </w:r>
      <w:r>
        <w:rPr>
          <w:rFonts w:ascii="Arial" w:hAnsi="Arial"/>
          <w:sz w:val="24"/>
        </w:rPr>
        <w:t xml:space="preserve"> A fair account starts with what such tools offer: consistent attention to every image, flags that busy clinicians might otherwise miss, and time released for patient contact (Topol, 2019). I do not dispute this. My point is narrower: benefit depends on how output is used, because an over-trusted assistive tool adds a route to error while appearing to remove one.</w:t>
      </w:r>
    </w:p>
    <w:p>
      <w:r>
        <w:rPr>
          <w:rFonts w:ascii="Arial" w:hAnsi="Arial"/>
          <w:b/>
          <w:sz w:val="24"/>
        </w:rPr>
        <w:t>Why uncertain output is hazardous.</w:t>
      </w:r>
      <w:r>
        <w:rPr>
          <w:rFonts w:ascii="Arial" w:hAnsi="Arial"/>
          <w:sz w:val="24"/>
        </w:rPr>
        <w:t xml:space="preserve"> Three mechanisms matter. First, automation bias: people over-rely on automated advice, missing errors the tool misses and following errors it makes (Parasuraman and Manzey, 2010). Goddard, Roudsari and Wyatt (2012) reviewed evidence that clinicians can follow incorrect advice, with mixed evidence on mitigations such as training.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relevant risk was error propagation: a flag copied into a record may later be read as a clinician's finding. Anchoring meant a flag could shape what I wrote even if I doubted it, and automation bias meant that a student, deferring to both the tool and the hierarchy, may be the person least likely to question it.</w:t>
      </w:r>
    </w:p>
    <w:p>
      <w:r>
        <w:rPr>
          <w:rFonts w:ascii="Arial" w:hAnsi="Arial"/>
          <w:b/>
          <w:sz w:val="24"/>
        </w:rPr>
        <w:t>"Just a feeling".</w:t>
      </w:r>
      <w:r>
        <w:rPr>
          <w:rFonts w:ascii="Arial" w:hAnsi="Arial"/>
          <w:sz w:val="24"/>
        </w:rPr>
        <w:t xml:space="preserve"> I could not explain my unease. Polanyi (1966) argued that we know more than we can tell, Benner (1984) links such perceptual sensitivity to expertise, which a novice has little of, and Schön (1983) describes its in-the-moment form as reflection-in-action. A fair objection is that intuition is also where bias hides (Tversky and Kahneman, 1974), so a feeling cannot count as evidence against a tool. I accept this, and it is the point: intuition is a legitimate safety signal but unreliable evidence, so it justifies a check, not a conclusion. Saying the flag "appeared inconsistent", not that it was wrong, is therefore a matter of accuracy about what I knew.</w:t>
      </w:r>
    </w:p>
    <w:p>
      <w:r>
        <w:rPr>
          <w:rFonts w:ascii="Arial" w:hAnsi="Arial"/>
          <w:b/>
          <w:sz w:val="24"/>
        </w:rPr>
        <w:t>What the framework requires.</w:t>
      </w:r>
      <w:r>
        <w:rPr>
          <w:rFonts w:ascii="Arial" w:hAnsi="Arial"/>
          <w:sz w:val="24"/>
        </w:rPr>
        <w:t xml:space="preserve"> Diagnostic software is normally regulated as a medical device under the Medical Devices Regulations 2002 (as amended), with guidance from the Medicines and Healthcare products Regulatory Agency (MHRA, 2023).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that a placement student is told them. Regulation sits upstream of the moment I met the tool; the moment itself was governed by local practice.</w:t>
      </w:r>
    </w:p>
    <w:p>
      <w:r>
        <w:rPr>
          <w:rFonts w:ascii="Arial" w:hAnsi="Arial"/>
          <w:b/>
          <w:sz w:val="24"/>
        </w:rPr>
        <w:t>Accountability.</w:t>
      </w:r>
      <w:r>
        <w:rPr>
          <w:rFonts w:ascii="Arial" w:hAnsi="Arial"/>
          <w:sz w:val="24"/>
        </w:rPr>
        <w:t xml:space="preserve"> Decisions on care remain with registered professionals, whose regulators expect independent judgement (Health and Care Professions Council, 2016; Nursing and Midwifery Council, 2018). Matthias (2004) describes a "responsibility gap" where learning systems behave in ways nobody fully controls; on a ward the gap is practical, because a usually accurate tool invites deference. As a student I was not the reporting clinician and could not verify an image. "Never accept AI output unchecked" 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because a question claims no authority and leaves the decision with the person who holds it. Employers carry duties too: Regulation 17 places governance responsibilities on providers, and the duty of candour (Regulation 20) operates at organisational level (Health and Social Care Act 2008 (Regulated Activities) Regulations 2014). Individual accountability without system support would be unfair and unsafe.</w:t>
      </w:r>
    </w:p>
    <w:p>
      <w:r>
        <w:rPr>
          <w:rFonts w:ascii="Arial" w:hAnsi="Arial"/>
          <w:b/>
          <w:sz w:val="24"/>
        </w:rPr>
        <w:t>So what.</w:t>
      </w:r>
      <w:r>
        <w:rPr>
          <w:rFonts w:ascii="Arial" w:hAnsi="Arial"/>
          <w:sz w:val="24"/>
        </w:rPr>
        <w:t xml:space="preserve"> Two implications go forward. A route for concerns that returns an outcome, and a convention marking AI-derived entries as unverified until confirmed. Both depend on induction that tells students what the tool cannot do.</w:t>
      </w:r>
    </w:p>
    <w:p>
      <w:pPr>
        <w:pStyle w:val="Heading2"/>
      </w:pPr>
      <w:r>
        <w:t>2.3 Issue 2: Communication, escalation and speaking up</w:t>
      </w:r>
    </w:p>
    <w:p>
      <w:r>
        <w:rPr>
          <w:rFonts w:ascii="Arial" w:hAnsi="Arial"/>
          <w:b/>
          <w:sz w:val="24"/>
        </w:rPr>
        <w:t>What I did, and what it took.</w:t>
      </w:r>
      <w:r>
        <w:rPr>
          <w:rFonts w:ascii="Arial" w:hAnsi="Arial"/>
          <w:sz w:val="24"/>
        </w:rPr>
        <w:t xml:space="preserve"> I told my supervisor. [YOU SUPPLY: when (same shift or later) and roughly what you said.] This was appropriate: I could not verify the output, and the person able to decide was someone I could reach. Speaking up as a student is harder than the policy suggests. Francis (2015) found that NHS staff often felt unable to raise concerns, and the NHS Constitution (Department of Health and Social Care, 2023) affirms a right to do so. Power gradients and uncertainty work against a junior with only a feeling to report (Francis, 2015). Edmondson (1999) defines psychological safety as a shared belief that interpersonal risk-taking is safe, and argues that it enables learning in teams. In hierarchical settings this belief is fragile: a student who is wrong risks embarrassment, and one who is right risks appearing to challenge a senior colleague's reliance on the tool. [YOU SUPPLY: one sentence on what made you feel able to speak.]</w:t>
      </w:r>
    </w:p>
    <w:p>
      <w:r>
        <w:rPr>
          <w:rFonts w:ascii="Arial" w:hAnsi="Arial"/>
          <w:b/>
          <w:sz w:val="24"/>
        </w:rPr>
        <w:t>What a good message holds.</w:t>
      </w:r>
      <w:r>
        <w:rPr>
          <w:rFonts w:ascii="Arial" w:hAnsi="Arial"/>
          <w:sz w:val="24"/>
        </w:rPr>
        <w:t xml:space="preserve"> 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evidence for SBAR to be mostly low-quality studies of hospital settings (Müller et al., 2018), so I treat it as a useful prompt, not proof of safer care. Nancarrow et al. (2013) describe good interdisciplinary teamwork through clear roles, communication and mutual respect, and Reeves et al. (2017) found the evidence on interprofessional collaboration limited and varied. Transfer from those studies to a student querying an AI output is my inference, not a finding.</w:t>
      </w:r>
    </w:p>
    <w:p>
      <w:r>
        <w:rPr>
          <w:rFonts w:ascii="Arial" w:hAnsi="Arial"/>
          <w:b/>
          <w:sz w:val="24"/>
        </w:rPr>
        <w:t>Who sets the norm.</w:t>
      </w:r>
      <w:r>
        <w:rPr>
          <w:rFonts w:ascii="Arial" w:hAnsi="Arial"/>
          <w:sz w:val="24"/>
        </w:rPr>
        <w:t xml:space="preserve"> Whether a student's doubt is welcomed is decided by those with authority. West (2021) describes compassionate leadership as attending to, understanding and helping colleagues; applied here, supervisors would signal in advance that querying an AI output is expected, not merely tolerated. The Healthcare Leadership Model (NHS Leadership Academy, 2013) treats such behaviours as relevant at every level. In the sources I read, leadership writing is largely normative and offers little evidence of effect on specific safety outcomes, so I treat it as a design principle, not a demonstrated remedy. For me it implies a future responsibility: to say at induction that questioning the tool is part of the job.</w:t>
      </w:r>
    </w:p>
    <w:p>
      <w:r>
        <w:rPr>
          <w:rFonts w:ascii="Arial" w:hAnsi="Arial"/>
          <w:b/>
          <w:sz w:val="24"/>
        </w:rPr>
        <w:t>No visible follow-up.</w:t>
      </w:r>
      <w:r>
        <w:rPr>
          <w:rFonts w:ascii="Arial" w:hAnsi="Arial"/>
          <w:sz w:val="24"/>
        </w:rPr>
        <w:t xml:space="preserve"> I do not know what happened. Staff may have checked and found nothing amiss, dealt with it without telling a student, or not pursued it; I cannot distinguish these, and confidentiality may legitimately limit what students are told. The absence of visible follow-up is not evidence of inaction. Its effect on the person who spoke up is the same, though. Berwick (2013) argues that a safe system learns from concerns, and Reason (2000) places organisational learning at the centre of safety. A concern with no visible outcome teaches that raising concerns achieves nothing, discouraging the next one and wasting the information; Francis (2015) reported that staff who spoke up often saw no action. A closed loop would acknowledge the concern, say who looked at it, and share whatever outcome can be shared without identifying anyone.</w:t>
      </w:r>
    </w:p>
    <w:p>
      <w:r>
        <w:rPr>
          <w:rFonts w:ascii="Arial" w:hAnsi="Arial"/>
          <w:b/>
          <w:sz w:val="24"/>
        </w:rPr>
        <w:t>Candid evaluation.</w:t>
      </w:r>
      <w:r>
        <w:rPr>
          <w:rFonts w:ascii="Arial" w:hAnsi="Arial"/>
          <w:sz w:val="24"/>
        </w:rPr>
        <w:t xml:space="preserve"> I escalated under uncertainty, within my remit, without claiming knowledge I lacked. I could have done more. I did not ask how the tool was validated or when it should not be used. I did not ask afterwards what had been found. [YOU SUPPLY: confirm whether you wrote anything down; if not, say so plainly.] A short concern note, stating what I saw, why I was uncertain, whom I told and when, would have created a contemporaneous record and a basis for follow-up. Communication and safety interact: weak escalation lets automation bias persist unchallenged, and a culture in which concerns vanish makes the next student less likely to raise one.</w:t>
      </w:r>
    </w:p>
    <w:p>
      <w:pPr>
        <w:pStyle w:val="Heading2"/>
      </w:pPr>
      <w:r>
        <w:t>2.4 Issue 3: Records integrity, transparency and confidentiality</w:t>
      </w:r>
    </w:p>
    <w:p>
      <w:r>
        <w:rPr>
          <w:rFonts w:ascii="Arial" w:hAnsi="Arial"/>
          <w:b/>
          <w:sz w:val="24"/>
        </w:rPr>
        <w:t>Accuracy.</w:t>
      </w:r>
      <w:r>
        <w:rPr>
          <w:rFonts w:ascii="Arial" w:hAnsi="Arial"/>
          <w:sz w:val="24"/>
        </w:rPr>
        <w:t xml:space="preserve"> UK GDPR Article 5(1)(d), applied through the Data Protection Act 2018, requires personal data to be accurate and, where necessary, kept up to date. Regulation 17(2)(c) requires accurate, complete and contemporaneous records (Health and Social Care Act 2008 (Regulated Activities) Regulations 2014). An AI flag recorded without qualification asserts something the service may not have verified, and later clinicians may read it as established. On my reading, this raises a question under the accuracy principle that depends on how an entry is worded and verified, which I cannot assess for the ward. The NHS Records Management Code of Practice (NHS England, 2023) governs retention and handling, not how to word a record of uncertain AI output.</w:t>
      </w:r>
    </w:p>
    <w:p>
      <w:r>
        <w:rPr>
          <w:rFonts w:ascii="Arial" w:hAnsi="Arial"/>
          <w:sz w:val="24"/>
        </w:rPr>
        <w:t>Error propagation has a particular mechanism in records. Once an entry exists, later readers treat it as the product of professional judgement, because that is why records are trusted, and its AI origin may not be visible to them. Reason's (2000) systems view locates the hazard in the pathway, where one uncertain output can pass through several hands without anyone owning its accuracy, not in any one person.</w:t>
      </w:r>
    </w:p>
    <w:p>
      <w:r>
        <w:rPr>
          <w:rFonts w:ascii="Arial" w:hAnsi="Arial"/>
          <w:b/>
          <w:sz w:val="24"/>
        </w:rPr>
        <w:t>Transparency and confidentiality.</w:t>
      </w:r>
      <w:r>
        <w:rPr>
          <w:rFonts w:ascii="Arial" w:hAnsi="Arial"/>
          <w:sz w:val="24"/>
        </w:rPr>
        <w:t xml:space="preserve"> 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which differs conceptually from consent to treatment. The common-law duty of confidentiality and the Caldicott Principles, including that people should be informed about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r>
        <w:rPr>
          <w:rFonts w:ascii="Arial" w:hAnsi="Arial"/>
          <w:b/>
          <w:sz w:val="24"/>
        </w:rPr>
        <w:t>Evaluation.</w:t>
      </w:r>
      <w:r>
        <w:rPr>
          <w:rFonts w:ascii="Arial" w:hAnsi="Arial"/>
          <w:sz w:val="24"/>
        </w:rPr>
        <w:t xml:space="preserve"> The principles are clear, but practical instruction does not reach the person writing the entry. Legislation and codes address controllers and registered professionals, and I am not aware of guidance telling a student how to word an AI-derived entry or record a concern without identifiers. Transparency can also become a notice that exists without being understood; its adequacy is better judged by patient understanding than by compliance. Meaningful transparency would explain, in plain language and at a time a patient can use it, that software supports the reading of images, that a clinician reviews the output, and whom to ask. I know of no evidence on whether notices of this kind change what patients understand in this setting, so I treat adequacy as an open question. A counter-position holds that labelling AI-derived entries would clutter records and slow clinicians. That cost is real, and S2 addresses it by limiting the label to entries that influence decisions and lifting it on confirmation. The same discipline applies to this portfolio: it contains no record content, no identifiers and no product details, which is itself a confidentiality decision.</w:t>
      </w:r>
    </w:p>
    <w:p>
      <w:pPr>
        <w:pStyle w:val="Heading2"/>
      </w:pPr>
      <w:r>
        <w:t>2.5 Integrated evaluation and solutions</w:t>
      </w:r>
    </w:p>
    <w:p>
      <w:r>
        <w:rPr>
          <w:rFonts w:ascii="Arial" w:hAnsi="Arial"/>
          <w:b/>
          <w:sz w:val="24"/>
        </w:rPr>
        <w:t>Verdict.</w:t>
      </w:r>
      <w:r>
        <w:rPr>
          <w:rFonts w:ascii="Arial" w:hAnsi="Arial"/>
          <w:sz w:val="24"/>
        </w:rPr>
        <w:t xml:space="preserve"> Three tensions run through the issues: efficiency against verification; transparency against data minimisation, since a concern note must say enough to be useful without identifying anyone; and individual against system accountability. The verdict is conditional because the evidence neither shows these tools to be unsafe nor shows safeguards to be unnecessary; benefit and harm are both plausible, and the difference lies in local conditions. My verdict is a conditional endorsement: AI-supported imaging output is defensible in documentation only where entries are marked as unverified until confirmed, concerns return an outcome, and staff and students are told the tool's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Solution</w:t>
            </w:r>
          </w:p>
        </w:tc>
        <w:tc>
          <w:tcPr>
            <w:tcW w:type="dxa" w:w="2160"/>
          </w:tcPr>
          <w:p>
            <w:r>
              <w:rPr>
                <w:rFonts w:ascii="Arial" w:hAnsi="Arial"/>
                <w:b/>
                <w:sz w:val="24"/>
              </w:rPr>
              <w:t>Evidence</w:t>
            </w:r>
          </w:p>
        </w:tc>
        <w:tc>
          <w:tcPr>
            <w:tcW w:type="dxa" w:w="2160"/>
          </w:tcPr>
          <w:p>
            <w:r>
              <w:rPr>
                <w:rFonts w:ascii="Arial" w:hAnsi="Arial"/>
                <w:b/>
                <w:sz w:val="24"/>
              </w:rPr>
              <w:t>Feasibility</w:t>
            </w:r>
          </w:p>
        </w:tc>
        <w:tc>
          <w:tcPr>
            <w:tcW w:type="dxa" w:w="2160"/>
          </w:tcPr>
          <w:p>
            <w:r>
              <w:rPr>
                <w:rFonts w:ascii="Arial" w:hAnsi="Arial"/>
                <w:b/>
                <w:sz w:val="24"/>
              </w:rPr>
              <w:t>Limits</w:t>
            </w:r>
          </w:p>
        </w:tc>
      </w:tr>
      <w:tr>
        <w:tc>
          <w:tcPr>
            <w:tcW w:type="dxa" w:w="2160"/>
          </w:tcPr>
          <w:p>
            <w:r>
              <w:rPr>
                <w:rFonts w:ascii="Arial" w:hAnsi="Arial"/>
                <w:sz w:val="24"/>
              </w:rPr>
              <w:t>S1 Concern-and-closure routine: a short note (what I saw, why uncertain, whom I told, when) and a named feedback route</w:t>
            </w:r>
          </w:p>
        </w:tc>
        <w:tc>
          <w:tcPr>
            <w:tcW w:type="dxa" w:w="2160"/>
          </w:tcPr>
          <w:p>
            <w:r>
              <w:rPr>
                <w:rFonts w:ascii="Arial" w:hAnsi="Arial"/>
                <w:sz w:val="24"/>
              </w:rPr>
              <w:t>Berwick (2013); Francis (2015); Edmondson (1999)</w:t>
            </w:r>
          </w:p>
        </w:tc>
        <w:tc>
          <w:tcPr>
            <w:tcW w:type="dxa" w:w="2160"/>
          </w:tcPr>
          <w:p>
            <w:r>
              <w:rPr>
                <w:rFonts w:ascii="Arial" w:hAnsi="Arial"/>
                <w:sz w:val="24"/>
              </w:rPr>
              <w:t>High: low-cost process change</w:t>
            </w:r>
          </w:p>
        </w:tc>
        <w:tc>
          <w:tcPr>
            <w:tcW w:type="dxa" w:w="2160"/>
          </w:tcPr>
          <w:p>
            <w:r>
              <w:rPr>
                <w:rFonts w:ascii="Arial" w:hAnsi="Arial"/>
                <w:sz w:val="24"/>
              </w:rPr>
              <w:t>Could become ritual; confidentiality limits feedback; workload</w:t>
            </w:r>
          </w:p>
        </w:tc>
      </w:tr>
      <w:tr>
        <w:tc>
          <w:tcPr>
            <w:tcW w:type="dxa" w:w="2160"/>
          </w:tcPr>
          <w:p>
            <w:r>
              <w:rPr>
                <w:rFonts w:ascii="Arial" w:hAnsi="Arial"/>
                <w:sz w:val="24"/>
              </w:rPr>
              <w:t>S2 "AI-suggested, unverified" label until a registered clinician confirms</w:t>
            </w:r>
          </w:p>
        </w:tc>
        <w:tc>
          <w:tcPr>
            <w:tcW w:type="dxa" w:w="2160"/>
          </w:tcPr>
          <w:p>
            <w:r>
              <w:rPr>
                <w:rFonts w:ascii="Arial" w:hAnsi="Arial"/>
                <w:sz w:val="24"/>
              </w:rPr>
              <w:t>Parasuraman and Manzey (2010); UK GDPR Art. 5(1)(d)</w:t>
            </w:r>
          </w:p>
        </w:tc>
        <w:tc>
          <w:tcPr>
            <w:tcW w:type="dxa" w:w="2160"/>
          </w:tcPr>
          <w:p>
            <w:r>
              <w:rPr>
                <w:rFonts w:ascii="Arial" w:hAnsi="Arial"/>
                <w:sz w:val="24"/>
              </w:rPr>
              <w:t>Medium: needs local policy</w:t>
            </w:r>
          </w:p>
        </w:tc>
        <w:tc>
          <w:tcPr>
            <w:tcW w:type="dxa" w:w="2160"/>
          </w:tcPr>
          <w:p>
            <w:r>
              <w:rPr>
                <w:rFonts w:ascii="Arial" w:hAnsi="Arial"/>
                <w:sz w:val="24"/>
              </w:rPr>
              <w:t>Clutter and label fatigue</w:t>
            </w:r>
          </w:p>
        </w:tc>
      </w:tr>
      <w:tr>
        <w:tc>
          <w:tcPr>
            <w:tcW w:type="dxa" w:w="2160"/>
          </w:tcPr>
          <w:p>
            <w:r>
              <w:rPr>
                <w:rFonts w:ascii="Arial" w:hAnsi="Arial"/>
                <w:sz w:val="24"/>
              </w:rPr>
              <w:t>S3 Induction on AI tools for all staff and students</w:t>
            </w:r>
          </w:p>
        </w:tc>
        <w:tc>
          <w:tcPr>
            <w:tcW w:type="dxa" w:w="2160"/>
          </w:tcPr>
          <w:p>
            <w:r>
              <w:rPr>
                <w:rFonts w:ascii="Arial" w:hAnsi="Arial"/>
                <w:sz w:val="24"/>
              </w:rPr>
              <w:t>Goddard et al. (2012); NHS England (2018)</w:t>
            </w:r>
          </w:p>
        </w:tc>
        <w:tc>
          <w:tcPr>
            <w:tcW w:type="dxa" w:w="2160"/>
          </w:tcPr>
          <w:p>
            <w:r>
              <w:rPr>
                <w:rFonts w:ascii="Arial" w:hAnsi="Arial"/>
                <w:sz w:val="24"/>
              </w:rPr>
              <w:t>Medium</w:t>
            </w:r>
          </w:p>
        </w:tc>
        <w:tc>
          <w:tcPr>
            <w:tcW w:type="dxa" w:w="2160"/>
          </w:tcPr>
          <w:p>
            <w:r>
              <w:rPr>
                <w:rFonts w:ascii="Arial" w:hAnsi="Arial"/>
                <w:sz w:val="24"/>
              </w:rPr>
              <w:t>Training decays; effect uncertain</w:t>
            </w:r>
          </w:p>
        </w:tc>
      </w:tr>
    </w:tbl>
    <w:p>
      <w:r>
        <w:rPr>
          <w:rFonts w:ascii="Arial" w:hAnsi="Arial"/>
          <w:sz w:val="24"/>
        </w:rPr>
        <w:t>I rank S1 first. It is cheap, directly repairs the broken feedback loop, and is my original proposal, offered for a service like the one I worked in, not as criticism of it. As a small test it could run on one ward for eight weeks as a plan-do-study-act cycle (Langley et al., 2009), measuring the share of concerns acknowledged within a set period and staff and student confidence to speak up, with a review point at the end. S1's main weakness is that it can be completed without being used, and counting notes written would reward volume, so the pilot should also ask staff whether a concern changed what happened next. S3 follows because induction supports the other two; it should include what to do when a tool seems wrong, since training that explains only benefits could increase deference. S2 comes last because it needs governance agreement, and its benefit rests on my inference from the automation bias literature, not on direct evidence.</w:t>
      </w:r>
    </w:p>
    <w:p>
      <w:r>
        <w:rPr>
          <w:rFonts w:ascii="Arial" w:hAnsi="Arial"/>
          <w:b/>
          <w:sz w:val="24"/>
        </w:rPr>
        <w:t>Limitations.</w:t>
      </w:r>
      <w:r>
        <w:rPr>
          <w:rFonts w:ascii="Arial" w:hAnsi="Arial"/>
          <w:sz w:val="24"/>
        </w:rPr>
        <w:t xml:space="preserve"> This is one episode, written from memory, without empirical data. I do not know the outcome, and my knowledge of the tool is limited to what I saw. The findings are analytic and not generalisable.</w:t>
      </w:r>
    </w:p>
    <w:p>
      <w:pPr>
        <w:pStyle w:val="Heading2"/>
      </w:pPr>
      <w:r>
        <w:t>2.6 Learning, Gibbs action and conclusion</w:t>
      </w:r>
    </w:p>
    <w:p>
      <w:r>
        <w:rPr>
          <w:rFonts w:ascii="Arial" w:hAnsi="Arial"/>
          <w:sz w:val="24"/>
        </w:rPr>
        <w:t>My feelings at the time were [YOU SUPPLY: one honest sentence]. Analysis changed my conclusion. Before the placement I assumed that [YOU SUPPLY: your real prior assumption about AI tools, for example that a tool adds a second look].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r>
        <w:rPr>
          <w:rFonts w:ascii="Arial" w:hAnsi="Arial"/>
          <w:sz w:val="24"/>
        </w:rPr>
        <w:t>My action plan is behavioural. 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it should not be used. A week after raising a concern, I will ask whether it has been closed, accepting that I may not be told the outcome.</w:t>
      </w:r>
    </w:p>
    <w:p>
      <w:r>
        <w:rPr>
          <w:rFonts w:ascii="Arial" w:hAnsi="Arial"/>
          <w:sz w:val="24"/>
        </w:rPr>
        <w:t>These behaviours help only if the people around me can sustain them. That requires knowledge of governance, quality improvement and leadership, which shapes Section 3. The learning also has limits: one episode cannot show how I would act in a different team, or when my doubt is stronger and the person who can decide is harder to reach. I will test the plan through supervisor feedback in my next role.</w:t>
      </w:r>
    </w:p>
    <w:p>
      <w:pPr>
        <w:pStyle w:val="Heading1"/>
      </w:pPr>
      <w:r>
        <w:t>3. Career Development Plan</w:t>
      </w:r>
    </w:p>
    <w:p>
      <w:pPr>
        <w:pStyle w:val="Heading2"/>
      </w:pPr>
      <w:r>
        <w:t>3.1 Destination and options appraisal</w:t>
      </w:r>
    </w:p>
    <w:p>
      <w:r>
        <w:rPr>
          <w:rFonts w:ascii="Arial" w:hAnsi="Arial"/>
          <w:sz w:val="24"/>
        </w:rPr>
        <w:t>Within 12 months I aim to become a senior care assistant or team leader in the UK, within two to three years to take a quality or management step, and in the long term to contribute to services in Nepal. [CONFIRM that this is your goal.]</w:t>
      </w:r>
    </w:p>
    <w:p>
      <w:r>
        <w:rPr>
          <w:rFonts w:ascii="Arial" w:hAnsi="Arial"/>
          <w:sz w:val="24"/>
        </w:rPr>
        <w:t>I appraised four options against fit with the Section 2 analysis, entry requirements, time and cost, and feasibility under visa rules. (i) Senior care assistant or team leader fits my existing experience and sits where handovers, induction and concern routes are set. (ii) Deputy or registered manager, through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belongs to later steps. The other options are deferred, not dismissed.</w:t>
      </w:r>
    </w:p>
    <w:p>
      <w:r>
        <w:rPr>
          <w:rFonts w:ascii="Arial" w:hAnsi="Arial"/>
          <w:sz w:val="24"/>
        </w:rPr>
        <w:t>To present this identity to employers I will use a CV, supervisor references and a short professional profile. "Personal branding" language can reward self-presentation over practice, so I will evidence practice, such as feedback and a completed improvement cycle, not adjectives.</w:t>
      </w:r>
    </w:p>
    <w:p>
      <w:pPr>
        <w:pStyle w:val="Heading2"/>
      </w:pPr>
      <w:r>
        <w:t>3.2 Evidence-based competency audit</w:t>
      </w:r>
    </w:p>
    <w:p>
      <w:r>
        <w:rPr>
          <w:rFonts w:ascii="Arial" w:hAnsi="Arial"/>
          <w:sz w:val="24"/>
        </w:rPr>
        <w:t>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with supervisor feedback, a 360-degree review (a tool within the Healthcare Leadership Model) and tutor feedback. Attendance records show exposure, not competence.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r>
          </w:p>
        </w:tc>
        <w:tc>
          <w:tcPr>
            <w:tcW w:type="dxa" w:w="2880"/>
          </w:tcPr>
          <w:p>
            <w:r>
              <w:rPr>
                <w:rFonts w:ascii="Arial" w:hAnsi="Arial"/>
                <w:b/>
                <w:sz w:val="24"/>
              </w:rPr>
              <w:t>Evidence</w:t>
            </w:r>
          </w:p>
        </w:tc>
        <w:tc>
          <w:tcPr>
            <w:tcW w:type="dxa" w:w="2880"/>
          </w:tcPr>
          <w:p>
            <w:r>
              <w:rPr>
                <w:rFonts w:ascii="Arial" w:hAnsi="Arial"/>
                <w:b/>
                <w:sz w:val="24"/>
              </w:rPr>
              <w:t>Why it matters or transfers</w:t>
            </w:r>
          </w:p>
        </w:tc>
      </w:tr>
      <w:tr>
        <w:tc>
          <w:tcPr>
            <w:tcW w:type="dxa" w:w="2880"/>
          </w:tcPr>
          <w:p>
            <w:r>
              <w:rPr>
                <w:rFonts w:ascii="Arial" w:hAnsi="Arial"/>
                <w:b/>
                <w:sz w:val="24"/>
              </w:rPr>
              <w:t>Strength:</w:t>
            </w:r>
            <w:r>
              <w:rPr>
                <w:rFonts w:ascii="Arial" w:hAnsi="Arial"/>
                <w:sz w:val="24"/>
              </w:rPr>
              <w:t xml:space="preserve"> reporting changes in condition</w:t>
            </w:r>
          </w:p>
        </w:tc>
        <w:tc>
          <w:tcPr>
            <w:tcW w:type="dxa" w:w="2880"/>
          </w:tcPr>
          <w:p>
            <w:r>
              <w:rPr>
                <w:rFonts w:ascii="Arial" w:hAnsi="Arial"/>
                <w:sz w:val="24"/>
              </w:rPr>
              <w:t>Care-home practice [YOU SUPPLY: example]; escalation in Section 2</w:t>
            </w:r>
          </w:p>
        </w:tc>
        <w:tc>
          <w:tcPr>
            <w:tcW w:type="dxa" w:w="2880"/>
          </w:tcPr>
          <w:p>
            <w:r>
              <w:rPr>
                <w:rFonts w:ascii="Arial" w:hAnsi="Arial"/>
                <w:sz w:val="24"/>
              </w:rPr>
              <w:t>Basis for leading handover</w:t>
            </w:r>
          </w:p>
        </w:tc>
      </w:tr>
      <w:tr>
        <w:tc>
          <w:tcPr>
            <w:tcW w:type="dxa" w:w="2880"/>
          </w:tcPr>
          <w:p>
            <w:r>
              <w:rPr>
                <w:rFonts w:ascii="Arial" w:hAnsi="Arial"/>
                <w:b/>
                <w:sz w:val="24"/>
              </w:rPr>
              <w:t>Strength:</w:t>
            </w:r>
            <w:r>
              <w:rPr>
                <w:rFonts w:ascii="Arial" w:hAnsi="Arial"/>
                <w:sz w:val="24"/>
              </w:rPr>
              <w:t xml:space="preserve"> person-centred, culturally aware care</w:t>
            </w:r>
          </w:p>
        </w:tc>
        <w:tc>
          <w:tcPr>
            <w:tcW w:type="dxa" w:w="2880"/>
          </w:tcPr>
          <w:p>
            <w:r>
              <w:rPr>
                <w:rFonts w:ascii="Arial" w:hAnsi="Arial"/>
                <w:sz w:val="24"/>
              </w:rPr>
              <w:t>Nepal and UK practice [YOU SUPPLY: example]</w:t>
            </w:r>
          </w:p>
        </w:tc>
        <w:tc>
          <w:tcPr>
            <w:tcW w:type="dxa" w:w="2880"/>
          </w:tcPr>
          <w:p>
            <w:r>
              <w:rPr>
                <w:rFonts w:ascii="Arial" w:hAnsi="Arial"/>
                <w:sz w:val="24"/>
              </w:rPr>
              <w:t>Supports inclusive team leadership</w:t>
            </w:r>
          </w:p>
        </w:tc>
      </w:tr>
      <w:tr>
        <w:tc>
          <w:tcPr>
            <w:tcW w:type="dxa" w:w="2880"/>
          </w:tcPr>
          <w:p>
            <w:r>
              <w:rPr>
                <w:rFonts w:ascii="Arial" w:hAnsi="Arial"/>
                <w:b/>
                <w:sz w:val="24"/>
              </w:rPr>
              <w:t>Strength:</w:t>
            </w:r>
            <w:r>
              <w:rPr>
                <w:rFonts w:ascii="Arial" w:hAnsi="Arial"/>
                <w:sz w:val="24"/>
              </w:rPr>
              <w:t xml:space="preserve"> managing work and study</w:t>
            </w:r>
          </w:p>
        </w:tc>
        <w:tc>
          <w:tcPr>
            <w:tcW w:type="dxa" w:w="2880"/>
          </w:tcPr>
          <w:p>
            <w:r>
              <w:rPr>
                <w:rFonts w:ascii="Arial" w:hAnsi="Arial"/>
                <w:sz w:val="24"/>
              </w:rPr>
              <w:t>[YOU SUPPLY: hours and results]</w:t>
            </w:r>
          </w:p>
        </w:tc>
        <w:tc>
          <w:tcPr>
            <w:tcW w:type="dxa" w:w="2880"/>
          </w:tcPr>
          <w:p>
            <w:r>
              <w:rPr>
                <w:rFonts w:ascii="Arial" w:hAnsi="Arial"/>
                <w:sz w:val="24"/>
              </w:rPr>
              <w:t>Shows reliability under load</w:t>
            </w:r>
          </w:p>
        </w:tc>
      </w:tr>
      <w:tr>
        <w:tc>
          <w:tcPr>
            <w:tcW w:type="dxa" w:w="2880"/>
          </w:tcPr>
          <w:p>
            <w:r>
              <w:rPr>
                <w:rFonts w:ascii="Arial" w:hAnsi="Arial"/>
                <w:b/>
                <w:sz w:val="24"/>
              </w:rPr>
              <w:t>Gap (high):</w:t>
            </w:r>
            <w:r>
              <w:rPr>
                <w:rFonts w:ascii="Arial" w:hAnsi="Arial"/>
                <w:sz w:val="24"/>
              </w:rPr>
              <w:t xml:space="preserve"> UK adult safeguarding procedures in depth</w:t>
            </w:r>
          </w:p>
        </w:tc>
        <w:tc>
          <w:tcPr>
            <w:tcW w:type="dxa" w:w="2880"/>
          </w:tcPr>
          <w:p>
            <w:r>
              <w:rPr>
                <w:rFonts w:ascii="Arial" w:hAnsi="Arial"/>
                <w:sz w:val="24"/>
              </w:rPr>
              <w:t>[YOU SUPPLY: training level held]</w:t>
            </w:r>
          </w:p>
        </w:tc>
        <w:tc>
          <w:tcPr>
            <w:tcW w:type="dxa" w:w="2880"/>
          </w:tcPr>
          <w:p>
            <w:r>
              <w:rPr>
                <w:rFonts w:ascii="Arial" w:hAnsi="Arial"/>
                <w:sz w:val="24"/>
              </w:rPr>
              <w:t>Team leaders receive and act on concerns</w:t>
            </w:r>
          </w:p>
        </w:tc>
      </w:tr>
      <w:tr>
        <w:tc>
          <w:tcPr>
            <w:tcW w:type="dxa" w:w="2880"/>
          </w:tcPr>
          <w:p>
            <w:r>
              <w:rPr>
                <w:rFonts w:ascii="Arial" w:hAnsi="Arial"/>
                <w:b/>
                <w:sz w:val="24"/>
              </w:rPr>
              <w:t>Gap (high):</w:t>
            </w:r>
            <w:r>
              <w:rPr>
                <w:rFonts w:ascii="Arial" w:hAnsi="Arial"/>
                <w:sz w:val="24"/>
              </w:rPr>
              <w:t xml:space="preserve"> quality-improvement methods</w:t>
            </w:r>
          </w:p>
        </w:tc>
        <w:tc>
          <w:tcPr>
            <w:tcW w:type="dxa" w:w="2880"/>
          </w:tcPr>
          <w:p>
            <w:r>
              <w:rPr>
                <w:rFonts w:ascii="Arial" w:hAnsi="Arial"/>
                <w:sz w:val="24"/>
              </w:rPr>
              <w:t>No improvement project led yet</w:t>
            </w:r>
          </w:p>
        </w:tc>
        <w:tc>
          <w:tcPr>
            <w:tcW w:type="dxa" w:w="2880"/>
          </w:tcPr>
          <w:p>
            <w:r>
              <w:rPr>
                <w:rFonts w:ascii="Arial" w:hAnsi="Arial"/>
                <w:sz w:val="24"/>
              </w:rPr>
              <w:t>Needed to deliver S1</w:t>
            </w:r>
          </w:p>
        </w:tc>
      </w:tr>
      <w:tr>
        <w:tc>
          <w:tcPr>
            <w:tcW w:type="dxa" w:w="2880"/>
          </w:tcPr>
          <w:p>
            <w:r>
              <w:rPr>
                <w:rFonts w:ascii="Arial" w:hAnsi="Arial"/>
                <w:b/>
                <w:sz w:val="24"/>
              </w:rPr>
              <w:t>Gap (medium):</w:t>
            </w:r>
            <w:r>
              <w:rPr>
                <w:rFonts w:ascii="Arial" w:hAnsi="Arial"/>
                <w:sz w:val="24"/>
              </w:rPr>
              <w:t xml:space="preserve"> supervising others</w:t>
            </w:r>
          </w:p>
        </w:tc>
        <w:tc>
          <w:tcPr>
            <w:tcW w:type="dxa" w:w="2880"/>
          </w:tcPr>
          <w:p>
            <w:r>
              <w:rPr>
                <w:rFonts w:ascii="Arial" w:hAnsi="Arial"/>
                <w:sz w:val="24"/>
              </w:rPr>
              <w:t>Limited experience</w:t>
            </w:r>
          </w:p>
        </w:tc>
        <w:tc>
          <w:tcPr>
            <w:tcW w:type="dxa" w:w="2880"/>
          </w:tcPr>
          <w:p>
            <w:r>
              <w:rPr>
                <w:rFonts w:ascii="Arial" w:hAnsi="Arial"/>
                <w:sz w:val="24"/>
              </w:rPr>
              <w:t>Core of the target role</w:t>
            </w:r>
          </w:p>
        </w:tc>
      </w:tr>
      <w:tr>
        <w:tc>
          <w:tcPr>
            <w:tcW w:type="dxa" w:w="2880"/>
          </w:tcPr>
          <w:p>
            <w:r>
              <w:rPr>
                <w:rFonts w:ascii="Arial" w:hAnsi="Arial"/>
                <w:b/>
                <w:sz w:val="24"/>
              </w:rPr>
              <w:t>Gap (medium):</w:t>
            </w:r>
            <w:r>
              <w:rPr>
                <w:rFonts w:ascii="Arial" w:hAnsi="Arial"/>
                <w:sz w:val="24"/>
              </w:rPr>
              <w:t xml:space="preserve"> evaluating digital and AI tools</w:t>
            </w:r>
          </w:p>
        </w:tc>
        <w:tc>
          <w:tcPr>
            <w:tcW w:type="dxa" w:w="2880"/>
          </w:tcPr>
          <w:p>
            <w:r>
              <w:rPr>
                <w:rFonts w:ascii="Arial" w:hAnsi="Arial"/>
                <w:sz w:val="24"/>
              </w:rPr>
              <w:t>Section 2 shows I can question, not appraise validation</w:t>
            </w:r>
          </w:p>
        </w:tc>
        <w:tc>
          <w:tcPr>
            <w:tcW w:type="dxa" w:w="2880"/>
          </w:tcPr>
          <w:p>
            <w:r>
              <w:rPr>
                <w:rFonts w:ascii="Arial" w:hAnsi="Arial"/>
                <w:sz w:val="24"/>
              </w:rPr>
              <w:t>Prepares me for S2 and S3</w:t>
            </w:r>
          </w:p>
        </w:tc>
      </w:tr>
      <w:tr>
        <w:tc>
          <w:tcPr>
            <w:tcW w:type="dxa" w:w="2880"/>
          </w:tcPr>
          <w:p>
            <w:r>
              <w:rPr>
                <w:rFonts w:ascii="Arial" w:hAnsi="Arial"/>
                <w:b/>
                <w:sz w:val="24"/>
              </w:rPr>
              <w:t>Gap (medium):</w:t>
            </w:r>
            <w:r>
              <w:rPr>
                <w:rFonts w:ascii="Arial" w:hAnsi="Arial"/>
                <w:sz w:val="24"/>
              </w:rPr>
              <w:t xml:space="preserve"> difficult conversations</w:t>
            </w:r>
          </w:p>
        </w:tc>
        <w:tc>
          <w:tcPr>
            <w:tcW w:type="dxa" w:w="2880"/>
          </w:tcPr>
          <w:p>
            <w:r>
              <w:rPr>
                <w:rFonts w:ascii="Arial" w:hAnsi="Arial"/>
                <w:sz w:val="24"/>
              </w:rPr>
              <w:t>[YOU SUPPLY: evidence]</w:t>
            </w:r>
          </w:p>
        </w:tc>
        <w:tc>
          <w:tcPr>
            <w:tcW w:type="dxa" w:w="2880"/>
          </w:tcPr>
          <w:p>
            <w:r>
              <w:rPr>
                <w:rFonts w:ascii="Arial" w:hAnsi="Arial"/>
                <w:sz w:val="24"/>
              </w:rPr>
              <w:t>Needed for disclosures and conflict</w:t>
            </w:r>
          </w:p>
        </w:tc>
      </w:tr>
    </w:tbl>
    <w:p>
      <w:r>
        <w:rPr>
          <w:rFonts w:ascii="Arial" w:hAnsi="Arial"/>
          <w:sz w:val="24"/>
        </w:rPr>
        <w:t>Three points follow. A strength is credible only where I can cite a dated episode, so unevidenced claims stay provisional. I rank gaps by what the target role demands in its first year: safeguarding and improvement skills are used within months, whereas evaluating digital tools matters most once I influence procurement or policy. Finally, the frameworks have limits. The Care Certificate sets a floor for support workers and the Healthcare Leadership Model (NHS Leadership Academy, 2013) describes leadership behaviours; to my knowledge neither covers appraising AI tools, so I treat that gap against a self-set standard.</w:t>
      </w:r>
    </w:p>
    <w:p>
      <w:pPr>
        <w:pStyle w:val="Heading2"/>
      </w:pPr>
      <w:r>
        <w:t>3.3 Action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Timeframe</w:t>
            </w:r>
          </w:p>
        </w:tc>
        <w:tc>
          <w:tcPr>
            <w:tcW w:type="dxa" w:w="2160"/>
          </w:tcPr>
          <w:p>
            <w:r>
              <w:rPr>
                <w:rFonts w:ascii="Arial" w:hAnsi="Arial"/>
                <w:b/>
                <w:sz w:val="24"/>
              </w:rPr>
              <w:t>SMART goal and action</w:t>
            </w:r>
          </w:p>
        </w:tc>
        <w:tc>
          <w:tcPr>
            <w:tcW w:type="dxa" w:w="2160"/>
          </w:tcPr>
          <w:p>
            <w:r>
              <w:rPr>
                <w:rFonts w:ascii="Arial" w:hAnsi="Arial"/>
                <w:b/>
                <w:sz w:val="24"/>
              </w:rPr>
              <w:t>Evidence of success</w:t>
            </w:r>
          </w:p>
        </w:tc>
        <w:tc>
          <w:tcPr>
            <w:tcW w:type="dxa" w:w="2160"/>
          </w:tcPr>
          <w:p>
            <w:r>
              <w:rPr>
                <w:rFonts w:ascii="Arial" w:hAnsi="Arial"/>
                <w:b/>
                <w:sz w:val="24"/>
              </w:rPr>
              <w:t>Gap</w:t>
            </w:r>
          </w:p>
        </w:tc>
      </w:tr>
      <w:tr>
        <w:tc>
          <w:tcPr>
            <w:tcW w:type="dxa" w:w="2160"/>
          </w:tcPr>
          <w:p>
            <w:r>
              <w:rPr>
                <w:rFonts w:ascii="Arial" w:hAnsi="Arial"/>
                <w:sz w:val="24"/>
              </w:rPr>
              <w:t>0 to 3 months</w:t>
            </w:r>
          </w:p>
        </w:tc>
        <w:tc>
          <w:tcPr>
            <w:tcW w:type="dxa" w:w="2160"/>
          </w:tcPr>
          <w:p>
            <w:r>
              <w:rPr>
                <w:rFonts w:ascii="Arial" w:hAnsi="Arial"/>
                <w:sz w:val="24"/>
              </w:rPr>
              <w:t>Obtain written supervisor feedback on communication and escalation; complete an accredited adult safeguarding update; shortlist three target employers</w:t>
            </w:r>
          </w:p>
        </w:tc>
        <w:tc>
          <w:tcPr>
            <w:tcW w:type="dxa" w:w="2160"/>
          </w:tcPr>
          <w:p>
            <w:r>
              <w:rPr>
                <w:rFonts w:ascii="Arial" w:hAnsi="Arial"/>
                <w:sz w:val="24"/>
              </w:rPr>
              <w:t>Feedback document; certificate; shortlist</w:t>
            </w:r>
          </w:p>
        </w:tc>
        <w:tc>
          <w:tcPr>
            <w:tcW w:type="dxa" w:w="2160"/>
          </w:tcPr>
          <w:p>
            <w:r>
              <w:rPr>
                <w:rFonts w:ascii="Arial" w:hAnsi="Arial"/>
                <w:sz w:val="24"/>
              </w:rPr>
              <w:t>Safeguarding; difficult conversations</w:t>
            </w:r>
          </w:p>
        </w:tc>
      </w:tr>
      <w:tr>
        <w:tc>
          <w:tcPr>
            <w:tcW w:type="dxa" w:w="2160"/>
          </w:tcPr>
          <w:p>
            <w:r>
              <w:rPr>
                <w:rFonts w:ascii="Arial" w:hAnsi="Arial"/>
                <w:sz w:val="24"/>
              </w:rPr>
              <w:t>3 to 6 months</w:t>
            </w:r>
          </w:p>
        </w:tc>
        <w:tc>
          <w:tcPr>
            <w:tcW w:type="dxa" w:w="2160"/>
          </w:tcPr>
          <w:p>
            <w:r>
              <w:rPr>
                <w:rFonts w:ascii="Arial" w:hAnsi="Arial"/>
                <w:sz w:val="24"/>
              </w:rPr>
              <w:t>Apply to named roles; begin a quality-improvement short course; secure a mentor; lead one small handover or documentation change as a plan-do-study-act cycle (Langley et al., 2009) with one measure</w:t>
            </w:r>
          </w:p>
        </w:tc>
        <w:tc>
          <w:tcPr>
            <w:tcW w:type="dxa" w:w="2160"/>
          </w:tcPr>
          <w:p>
            <w:r>
              <w:rPr>
                <w:rFonts w:ascii="Arial" w:hAnsi="Arial"/>
                <w:sz w:val="24"/>
              </w:rPr>
              <w:t>Applications; course record; cycle record</w:t>
            </w:r>
          </w:p>
        </w:tc>
        <w:tc>
          <w:tcPr>
            <w:tcW w:type="dxa" w:w="2160"/>
          </w:tcPr>
          <w:p>
            <w:r>
              <w:rPr>
                <w:rFonts w:ascii="Arial" w:hAnsi="Arial"/>
                <w:sz w:val="24"/>
              </w:rPr>
              <w:t>Quality improvement; supervising</w:t>
            </w:r>
          </w:p>
        </w:tc>
      </w:tr>
      <w:tr>
        <w:tc>
          <w:tcPr>
            <w:tcW w:type="dxa" w:w="2160"/>
          </w:tcPr>
          <w:p>
            <w:r>
              <w:rPr>
                <w:rFonts w:ascii="Arial" w:hAnsi="Arial"/>
                <w:sz w:val="24"/>
              </w:rPr>
              <w:t>6 to 12 months</w:t>
            </w:r>
          </w:p>
        </w:tc>
        <w:tc>
          <w:tcPr>
            <w:tcW w:type="dxa" w:w="2160"/>
          </w:tcPr>
          <w:p>
            <w:r>
              <w:rPr>
                <w:rFonts w:ascii="Arial" w:hAnsi="Arial"/>
                <w:sz w:val="24"/>
              </w:rPr>
              <w:t>Secure a senior or team-leader post; enrol on a Level 3 or 5 adult-care leadership qualification; build an improvement evidence file; review the plan with my mentor</w:t>
            </w:r>
          </w:p>
        </w:tc>
        <w:tc>
          <w:tcPr>
            <w:tcW w:type="dxa" w:w="2160"/>
          </w:tcPr>
          <w:p>
            <w:r>
              <w:rPr>
                <w:rFonts w:ascii="Arial" w:hAnsi="Arial"/>
                <w:sz w:val="24"/>
              </w:rPr>
              <w:t>Offer; enrolment; file</w:t>
            </w:r>
          </w:p>
        </w:tc>
        <w:tc>
          <w:tcPr>
            <w:tcW w:type="dxa" w:w="2160"/>
          </w:tcPr>
          <w:p>
            <w:r>
              <w:rPr>
                <w:rFonts w:ascii="Arial" w:hAnsi="Arial"/>
                <w:sz w:val="24"/>
              </w:rPr>
              <w:t>Supervising; leadership</w:t>
            </w:r>
          </w:p>
        </w:tc>
      </w:tr>
      <w:tr>
        <w:tc>
          <w:tcPr>
            <w:tcW w:type="dxa" w:w="2160"/>
          </w:tcPr>
          <w:p>
            <w:r>
              <w:rPr>
                <w:rFonts w:ascii="Arial" w:hAnsi="Arial"/>
                <w:sz w:val="24"/>
              </w:rPr>
              <w:t>12 to 36 months</w:t>
            </w:r>
          </w:p>
        </w:tc>
        <w:tc>
          <w:tcPr>
            <w:tcW w:type="dxa" w:w="2160"/>
          </w:tcPr>
          <w:p>
            <w:r>
              <w:rPr>
                <w:rFonts w:ascii="Arial" w:hAnsi="Arial"/>
                <w:sz w:val="24"/>
              </w:rPr>
              <w:t>Hold a role with decision-making responsibility; evaluate master's and management routes; record contributions relevant to Nepal</w:t>
            </w:r>
          </w:p>
        </w:tc>
        <w:tc>
          <w:tcPr>
            <w:tcW w:type="dxa" w:w="2160"/>
          </w:tcPr>
          <w:p>
            <w:r>
              <w:rPr>
                <w:rFonts w:ascii="Arial" w:hAnsi="Arial"/>
                <w:sz w:val="24"/>
              </w:rPr>
              <w:t>Role description; options paper</w:t>
            </w:r>
          </w:p>
        </w:tc>
        <w:tc>
          <w:tcPr>
            <w:tcW w:type="dxa" w:w="2160"/>
          </w:tcPr>
          <w:p>
            <w:r>
              <w:rPr>
                <w:rFonts w:ascii="Arial" w:hAnsi="Arial"/>
                <w:sz w:val="24"/>
              </w:rPr>
              <w:t>Digital and AI tools; governance</w:t>
            </w:r>
          </w:p>
        </w:tc>
      </w:tr>
    </w:tbl>
    <w:p>
      <w:r>
        <w:rPr>
          <w:rFonts w:ascii="Arial" w:hAnsi="Arial"/>
          <w:sz w:val="24"/>
        </w:rPr>
        <w:t>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will set real dates once [YOU SUPPLY: graduation date] is fixed.</w:t>
      </w:r>
    </w:p>
    <w:p>
      <w:pPr>
        <w:pStyle w:val="Heading2"/>
      </w:pPr>
      <w:r>
        <w:t>3.4 Risks, contingency, monitoring and long-term aim</w:t>
      </w:r>
    </w:p>
    <w:p>
      <w:r>
        <w:rPr>
          <w:rFonts w:ascii="Arial" w:hAnsi="Arial"/>
          <w:sz w:val="24"/>
        </w:rPr>
        <w:t>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which describes sector-wide patterns and says little about vacancies in any one area, so I will check named employers directly before relying on it.</w:t>
      </w:r>
    </w:p>
    <w:p>
      <w:r>
        <w:rPr>
          <w:rFonts w:ascii="Arial" w:hAnsi="Arial"/>
          <w:sz w:val="24"/>
        </w:rPr>
        <w:t>I will review progress every three months using my competency log, and change course if I hold no relevant interview after six months of applications or if feedback shows the supervisory gap persisting.</w:t>
      </w:r>
    </w:p>
    <w:p>
      <w:r>
        <w:rPr>
          <w:rFonts w:ascii="Arial" w:hAnsi="Arial"/>
          <w:sz w:val="24"/>
        </w:rPr>
        <w:t>My long-term aim in Nepal is staged and evidence-informed. What should transfer is method: quality-improvement cycles, concern-and-closure routines and induction on new tools. What may not is UK statute and the regulator's structure, because Nepal's health-system context and resources differ (Ministry of Health and Population, 2023). I will treat contribution there as knowledge exchange before any larger role.</w:t>
      </w:r>
    </w:p>
    <w:p>
      <w:pPr>
        <w:pStyle w:val="Heading2"/>
      </w:pPr>
      <w:r>
        <w:t>3.5 Closing line</w:t>
      </w:r>
    </w:p>
    <w:p>
      <w:r>
        <w:rPr>
          <w:rFonts w:ascii="Arial" w:hAnsi="Arial"/>
          <w:sz w:val="24"/>
        </w:rPr>
        <w:t>Identity, case and plan describe one commitment: to notice, question and escalate, and, as responsibility grows, to build routines so that others can do the same, and so that a concern, once raised, is followed to an outcome that its author can learn from.</w:t>
      </w:r>
    </w:p>
    <w:p>
      <w:pPr>
        <w:pStyle w:val="Heading1"/>
      </w:pPr>
      <w:r>
        <w:t>References</w:t>
      </w:r>
    </w:p>
    <w:p>
      <w:r>
        <w:rPr>
          <w:rFonts w:ascii="Arial" w:hAnsi="Arial"/>
          <w:sz w:val="24"/>
        </w:rPr>
        <w:t xml:space="preserve">Beauchamp, T.L. and Childress, J.F. (2019) </w:t>
      </w:r>
      <w:r>
        <w:rPr>
          <w:rFonts w:ascii="Arial" w:hAnsi="Arial"/>
          <w:i/>
          <w:sz w:val="24"/>
        </w:rPr>
        <w:t>Principles of biomedical ethics</w:t>
      </w:r>
      <w:r>
        <w:rPr>
          <w:rFonts w:ascii="Arial" w:hAnsi="Arial"/>
          <w:sz w:val="24"/>
        </w:rPr>
        <w:t>. 8th edn. New York: Oxford University Press.</w:t>
      </w:r>
    </w:p>
    <w:p>
      <w:r>
        <w:rPr>
          <w:rFonts w:ascii="Arial" w:hAnsi="Arial"/>
          <w:sz w:val="24"/>
        </w:rPr>
        <w:t xml:space="preserve">Benner, P. (1984) </w:t>
      </w:r>
      <w:r>
        <w:rPr>
          <w:rFonts w:ascii="Arial" w:hAnsi="Arial"/>
          <w:i/>
          <w:sz w:val="24"/>
        </w:rPr>
        <w:t>From novice to expert: excellence and power in clinical nursing practice</w:t>
      </w:r>
      <w:r>
        <w:rPr>
          <w:rFonts w:ascii="Arial" w:hAnsi="Arial"/>
          <w:sz w:val="24"/>
        </w:rPr>
        <w:t>. Menlo Park, CA: Addison-Wesley.</w:t>
      </w:r>
    </w:p>
    <w:p>
      <w:r>
        <w:rPr>
          <w:rFonts w:ascii="Arial" w:hAnsi="Arial"/>
          <w:sz w:val="24"/>
        </w:rPr>
        <w:t xml:space="preserve">Berwick, D. (2013) </w:t>
      </w:r>
      <w:r>
        <w:rPr>
          <w:rFonts w:ascii="Arial" w:hAnsi="Arial"/>
          <w:i/>
          <w:sz w:val="24"/>
        </w:rPr>
        <w:t>A promise to learn – a commitment to act: improving the safety of patients in England</w:t>
      </w:r>
      <w:r>
        <w:rPr>
          <w:rFonts w:ascii="Arial" w:hAnsi="Arial"/>
          <w:sz w:val="24"/>
        </w:rPr>
        <w:t>. London: Department of Health.</w:t>
      </w:r>
    </w:p>
    <w:p>
      <w:r>
        <w:rPr>
          <w:rFonts w:ascii="Arial" w:hAnsi="Arial"/>
          <w:sz w:val="24"/>
        </w:rPr>
        <w:t xml:space="preserve">Care Act 2014. c. 23. Available at: </w:t>
      </w:r>
      <w:hyperlink r:id="rId9">
        <w:r>
          <w:rPr>
            <w:rFonts w:ascii="Arial" w:hAnsi="Arial"/>
            <w:color w:val="0563C1"/>
            <w:u w:val="single"/>
            <w:sz w:val="24"/>
          </w:rPr>
          <w:t>https://www.legislation.gov.uk/ukpga/2014/23</w:t>
        </w:r>
      </w:hyperlink>
      <w:r>
        <w:rPr>
          <w:rFonts w:ascii="Arial" w:hAnsi="Arial"/>
          <w:sz w:val="24"/>
        </w:rPr>
        <w:t xml:space="preserve"> (Accessed: [date]).</w:t>
      </w:r>
    </w:p>
    <w:p>
      <w:r>
        <w:rPr>
          <w:rFonts w:ascii="Arial" w:hAnsi="Arial"/>
          <w:sz w:val="24"/>
        </w:rPr>
        <w:t xml:space="preserve">Dahlgren, G. and Whitehead, M. (1991) </w:t>
      </w:r>
      <w:r>
        <w:rPr>
          <w:rFonts w:ascii="Arial" w:hAnsi="Arial"/>
          <w:i/>
          <w:sz w:val="24"/>
        </w:rPr>
        <w:t>Policies and strategies to promote social equity in health</w:t>
      </w:r>
      <w:r>
        <w:rPr>
          <w:rFonts w:ascii="Arial" w:hAnsi="Arial"/>
          <w:sz w:val="24"/>
        </w:rPr>
        <w:t>. Stockholm: Institute for Futures Studies.</w:t>
      </w:r>
    </w:p>
    <w:p>
      <w:r>
        <w:rPr>
          <w:rFonts w:ascii="Arial" w:hAnsi="Arial"/>
          <w:sz w:val="24"/>
        </w:rPr>
        <w:t xml:space="preserve">Data Protection Act 2018. c. 12. Available at: </w:t>
      </w:r>
      <w:hyperlink r:id="rId10">
        <w:r>
          <w:rPr>
            <w:rFonts w:ascii="Arial" w:hAnsi="Arial"/>
            <w:color w:val="0563C1"/>
            <w:u w:val="single"/>
            <w:sz w:val="24"/>
          </w:rPr>
          <w:t>https://www.legislation.gov.uk/ukpga/2018/12</w:t>
        </w:r>
      </w:hyperlink>
      <w:r>
        <w:rPr>
          <w:rFonts w:ascii="Arial" w:hAnsi="Arial"/>
          <w:sz w:val="24"/>
        </w:rPr>
        <w:t xml:space="preserve"> (Accessed: [date]).</w:t>
      </w:r>
    </w:p>
    <w:p>
      <w:r>
        <w:rPr>
          <w:rFonts w:ascii="Arial" w:hAnsi="Arial"/>
          <w:sz w:val="24"/>
        </w:rPr>
        <w:t xml:space="preserve">Data (Use and Access) Act 2025. Available at: </w:t>
      </w:r>
      <w:hyperlink r:id="rId11">
        <w:r>
          <w:rPr>
            <w:rFonts w:ascii="Arial" w:hAnsi="Arial"/>
            <w:color w:val="0563C1"/>
            <w:u w:val="single"/>
            <w:sz w:val="24"/>
          </w:rPr>
          <w:t>https://www.legislation.gov.uk/ukpga/2025/18</w:t>
        </w:r>
      </w:hyperlink>
      <w:r>
        <w:rPr>
          <w:rFonts w:ascii="Arial" w:hAnsi="Arial"/>
          <w:sz w:val="24"/>
        </w:rPr>
        <w:t xml:space="preserve"> (Accessed: [date]).</w:t>
      </w:r>
    </w:p>
    <w:p>
      <w:r>
        <w:rPr>
          <w:rFonts w:ascii="Arial" w:hAnsi="Arial"/>
          <w:sz w:val="24"/>
        </w:rPr>
        <w:t xml:space="preserve">Davis, D.A., Mazmanian, P.E., Fordis, M., Van Harrison, R., Thorpe, K.E. and Perrier, L. (2006) 'Accuracy of physician self-assessment compared with observed measures of competence: a systematic review', </w:t>
      </w:r>
      <w:r>
        <w:rPr>
          <w:rFonts w:ascii="Arial" w:hAnsi="Arial"/>
          <w:i/>
          <w:sz w:val="24"/>
        </w:rPr>
        <w:t>JAMA</w:t>
      </w:r>
      <w:r>
        <w:rPr>
          <w:rFonts w:ascii="Arial" w:hAnsi="Arial"/>
          <w:sz w:val="24"/>
        </w:rPr>
        <w:t>, 296(9), pp. 1094–1102.</w:t>
      </w:r>
    </w:p>
    <w:p>
      <w:r>
        <w:rPr>
          <w:rFonts w:ascii="Arial" w:hAnsi="Arial"/>
          <w:sz w:val="24"/>
        </w:rPr>
        <w:t xml:space="preserve">Department of Health and Social Care (2023) </w:t>
      </w:r>
      <w:r>
        <w:rPr>
          <w:rFonts w:ascii="Arial" w:hAnsi="Arial"/>
          <w:i/>
          <w:sz w:val="24"/>
        </w:rPr>
        <w:t>The NHS Constitution for England</w:t>
      </w:r>
      <w:r>
        <w:rPr>
          <w:rFonts w:ascii="Arial" w:hAnsi="Arial"/>
          <w:sz w:val="24"/>
        </w:rPr>
        <w:t>. London: DHSC.</w:t>
      </w:r>
    </w:p>
    <w:p>
      <w:r>
        <w:rPr>
          <w:rFonts w:ascii="Arial" w:hAnsi="Arial"/>
          <w:sz w:val="24"/>
        </w:rPr>
        <w:t xml:space="preserve">Department of Health and Social Care (2025) </w:t>
      </w:r>
      <w:r>
        <w:rPr>
          <w:rFonts w:ascii="Arial" w:hAnsi="Arial"/>
          <w:i/>
          <w:sz w:val="24"/>
        </w:rPr>
        <w:t>10 Year Health Plan for England: fit for the future</w:t>
      </w:r>
      <w:r>
        <w:rPr>
          <w:rFonts w:ascii="Arial" w:hAnsi="Arial"/>
          <w:sz w:val="24"/>
        </w:rPr>
        <w:t>. London: DHSC.</w:t>
      </w:r>
    </w:p>
    <w:p>
      <w:r>
        <w:rPr>
          <w:rFonts w:ascii="Arial" w:hAnsi="Arial"/>
          <w:sz w:val="24"/>
        </w:rPr>
        <w:t xml:space="preserve">Dratsch, T., Chen, X., Rezazade Mehrizi, M., Kloeckner, R., Mähringer-Kunz, A., Püsken, M. et al. (2023) 'Automation bias in mammography: the impact of artificial intelligence BI-RADS suggestions on reader performance', </w:t>
      </w:r>
      <w:r>
        <w:rPr>
          <w:rFonts w:ascii="Arial" w:hAnsi="Arial"/>
          <w:i/>
          <w:sz w:val="24"/>
        </w:rPr>
        <w:t>Radiology</w:t>
      </w:r>
      <w:r>
        <w:rPr>
          <w:rFonts w:ascii="Arial" w:hAnsi="Arial"/>
          <w:sz w:val="24"/>
        </w:rPr>
        <w:t>, 307(4), e222176.</w:t>
      </w:r>
    </w:p>
    <w:p>
      <w:r>
        <w:rPr>
          <w:rFonts w:ascii="Arial" w:hAnsi="Arial"/>
          <w:sz w:val="24"/>
        </w:rPr>
        <w:t xml:space="preserve">Edmondson, A. (1999) 'Psychological safety and learning behavior in work teams', </w:t>
      </w:r>
      <w:r>
        <w:rPr>
          <w:rFonts w:ascii="Arial" w:hAnsi="Arial"/>
          <w:i/>
          <w:sz w:val="24"/>
        </w:rPr>
        <w:t>Administrative Science Quarterly</w:t>
      </w:r>
      <w:r>
        <w:rPr>
          <w:rFonts w:ascii="Arial" w:hAnsi="Arial"/>
          <w:sz w:val="24"/>
        </w:rPr>
        <w:t>, 44(2), pp. 350–383.</w:t>
      </w:r>
    </w:p>
    <w:p>
      <w:r>
        <w:rPr>
          <w:rFonts w:ascii="Arial" w:hAnsi="Arial"/>
          <w:sz w:val="24"/>
        </w:rPr>
        <w:t xml:space="preserve">Finlay, L. (2008) </w:t>
      </w:r>
      <w:r>
        <w:rPr>
          <w:rFonts w:ascii="Arial" w:hAnsi="Arial"/>
          <w:i/>
          <w:sz w:val="24"/>
        </w:rPr>
        <w:t>Reflecting on 'reflective practice'</w:t>
      </w:r>
      <w:r>
        <w:rPr>
          <w:rFonts w:ascii="Arial" w:hAnsi="Arial"/>
          <w:sz w:val="24"/>
        </w:rPr>
        <w:t>. PBPL paper 52. Milton Keynes: The Open University.</w:t>
      </w:r>
    </w:p>
    <w:p>
      <w:r>
        <w:rPr>
          <w:rFonts w:ascii="Arial" w:hAnsi="Arial"/>
          <w:sz w:val="24"/>
        </w:rPr>
        <w:t xml:space="preserve">Francis, R. (2013) </w:t>
      </w:r>
      <w:r>
        <w:rPr>
          <w:rFonts w:ascii="Arial" w:hAnsi="Arial"/>
          <w:i/>
          <w:sz w:val="24"/>
        </w:rPr>
        <w:t>Report of the Mid Staffordshire NHS Foundation Trust Public Inquiry</w:t>
      </w:r>
      <w:r>
        <w:rPr>
          <w:rFonts w:ascii="Arial" w:hAnsi="Arial"/>
          <w:sz w:val="24"/>
        </w:rPr>
        <w:t>. London: The Stationery Office.</w:t>
      </w:r>
    </w:p>
    <w:p>
      <w:r>
        <w:rPr>
          <w:rFonts w:ascii="Arial" w:hAnsi="Arial"/>
          <w:sz w:val="24"/>
        </w:rPr>
        <w:t xml:space="preserve">Francis, R. (2015) </w:t>
      </w:r>
      <w:r>
        <w:rPr>
          <w:rFonts w:ascii="Arial" w:hAnsi="Arial"/>
          <w:i/>
          <w:sz w:val="24"/>
        </w:rPr>
        <w:t>Freedom to speak up: an independent review into creating an open and honest reporting culture in the NHS</w:t>
      </w:r>
      <w:r>
        <w:rPr>
          <w:rFonts w:ascii="Arial" w:hAnsi="Arial"/>
          <w:sz w:val="24"/>
        </w:rPr>
        <w:t>. London: Freedom to Speak Up.</w:t>
      </w:r>
    </w:p>
    <w:p>
      <w:r>
        <w:rPr>
          <w:rFonts w:ascii="Arial" w:hAnsi="Arial"/>
          <w:sz w:val="24"/>
        </w:rPr>
        <w:t xml:space="preserve">Gibbs, G. (1988) </w:t>
      </w:r>
      <w:r>
        <w:rPr>
          <w:rFonts w:ascii="Arial" w:hAnsi="Arial"/>
          <w:i/>
          <w:sz w:val="24"/>
        </w:rPr>
        <w:t>Learning by doing: a guide to teaching and learning methods</w:t>
      </w:r>
      <w:r>
        <w:rPr>
          <w:rFonts w:ascii="Arial" w:hAnsi="Arial"/>
          <w:sz w:val="24"/>
        </w:rPr>
        <w:t>. Oxford: Further Education Unit.</w:t>
      </w:r>
    </w:p>
    <w:p>
      <w:r>
        <w:rPr>
          <w:rFonts w:ascii="Arial" w:hAnsi="Arial"/>
          <w:sz w:val="24"/>
        </w:rPr>
        <w:t xml:space="preserve">Goddard, K., Roudsari, A. and Wyatt, J.C. (2012) 'Automation bias: a systematic review of frequency, effect mediators, and mitigators', </w:t>
      </w:r>
      <w:r>
        <w:rPr>
          <w:rFonts w:ascii="Arial" w:hAnsi="Arial"/>
          <w:i/>
          <w:sz w:val="24"/>
        </w:rPr>
        <w:t>Journal of the American Medical Informatics Association</w:t>
      </w:r>
      <w:r>
        <w:rPr>
          <w:rFonts w:ascii="Arial" w:hAnsi="Arial"/>
          <w:sz w:val="24"/>
        </w:rPr>
        <w:t>, 19(1), pp. 121–127.</w:t>
      </w:r>
    </w:p>
    <w:p>
      <w:r>
        <w:rPr>
          <w:rFonts w:ascii="Arial" w:hAnsi="Arial"/>
          <w:sz w:val="24"/>
        </w:rPr>
        <w:t xml:space="preserve">Greenhalgh, T., Howick, J. and Maskrey, N. (2014) 'Evidence based medicine: a movement in crisis?', </w:t>
      </w:r>
      <w:r>
        <w:rPr>
          <w:rFonts w:ascii="Arial" w:hAnsi="Arial"/>
          <w:i/>
          <w:sz w:val="24"/>
        </w:rPr>
        <w:t>BMJ</w:t>
      </w:r>
      <w:r>
        <w:rPr>
          <w:rFonts w:ascii="Arial" w:hAnsi="Arial"/>
          <w:sz w:val="24"/>
        </w:rPr>
        <w:t>, 348, g3725.</w:t>
      </w:r>
    </w:p>
    <w:p>
      <w:r>
        <w:rPr>
          <w:rFonts w:ascii="Arial" w:hAnsi="Arial"/>
          <w:sz w:val="24"/>
        </w:rPr>
        <w:t xml:space="preserve">Haig, K.M., Sutton, S. and Whittington, J. (2006) 'SBAR: a shared mental model for improving communication between clinicians', </w:t>
      </w:r>
      <w:r>
        <w:rPr>
          <w:rFonts w:ascii="Arial" w:hAnsi="Arial"/>
          <w:i/>
          <w:sz w:val="24"/>
        </w:rPr>
        <w:t>Joint Commission Journal on Quality and Patient Safety</w:t>
      </w:r>
      <w:r>
        <w:rPr>
          <w:rFonts w:ascii="Arial" w:hAnsi="Arial"/>
          <w:sz w:val="24"/>
        </w:rPr>
        <w:t>, 32(3), pp. 167–175.</w:t>
      </w:r>
    </w:p>
    <w:p>
      <w:r>
        <w:rPr>
          <w:rFonts w:ascii="Arial" w:hAnsi="Arial"/>
          <w:sz w:val="24"/>
        </w:rPr>
        <w:t xml:space="preserve">Health and Care Professions Council (2016) </w:t>
      </w:r>
      <w:r>
        <w:rPr>
          <w:rFonts w:ascii="Arial" w:hAnsi="Arial"/>
          <w:i/>
          <w:sz w:val="24"/>
        </w:rPr>
        <w:t>Standards of conduct, performance and ethics</w:t>
      </w:r>
      <w:r>
        <w:rPr>
          <w:rFonts w:ascii="Arial" w:hAnsi="Arial"/>
          <w:sz w:val="24"/>
        </w:rPr>
        <w:t>. London: HCPC.</w:t>
      </w:r>
    </w:p>
    <w:p>
      <w:r>
        <w:rPr>
          <w:rFonts w:ascii="Arial" w:hAnsi="Arial"/>
          <w:sz w:val="24"/>
        </w:rPr>
        <w:t xml:space="preserve">Health and Social Care Act 2008 (Regulated Activities) Regulations 2014. SI 2014/2936. Available at: </w:t>
      </w:r>
      <w:hyperlink r:id="rId12">
        <w:r>
          <w:rPr>
            <w:rFonts w:ascii="Arial" w:hAnsi="Arial"/>
            <w:color w:val="0563C1"/>
            <w:u w:val="single"/>
            <w:sz w:val="24"/>
          </w:rPr>
          <w:t>https://www.legislation.gov.uk/uksi/2014/2936</w:t>
        </w:r>
      </w:hyperlink>
      <w:r>
        <w:rPr>
          <w:rFonts w:ascii="Arial" w:hAnsi="Arial"/>
          <w:sz w:val="24"/>
        </w:rPr>
        <w:t xml:space="preserve"> (Accessed: [date]).</w:t>
      </w:r>
    </w:p>
    <w:p>
      <w:r>
        <w:rPr>
          <w:rFonts w:ascii="Arial" w:hAnsi="Arial"/>
          <w:sz w:val="24"/>
        </w:rPr>
        <w:t xml:space="preserve">Home Office (no date) </w:t>
      </w:r>
      <w:r>
        <w:rPr>
          <w:rFonts w:ascii="Arial" w:hAnsi="Arial"/>
          <w:i/>
          <w:sz w:val="24"/>
        </w:rPr>
        <w:t>Graduate visa</w:t>
      </w:r>
      <w:r>
        <w:rPr>
          <w:rFonts w:ascii="Arial" w:hAnsi="Arial"/>
          <w:sz w:val="24"/>
        </w:rPr>
        <w:t xml:space="preserve">. Available at: </w:t>
      </w:r>
      <w:hyperlink r:id="rId13">
        <w:r>
          <w:rPr>
            <w:rFonts w:ascii="Arial" w:hAnsi="Arial"/>
            <w:color w:val="0563C1"/>
            <w:u w:val="single"/>
            <w:sz w:val="24"/>
          </w:rPr>
          <w:t>https://www.gov.uk/graduate-visa</w:t>
        </w:r>
      </w:hyperlink>
      <w:r>
        <w:rPr>
          <w:rFonts w:ascii="Arial" w:hAnsi="Arial"/>
          <w:sz w:val="24"/>
        </w:rPr>
        <w:t xml:space="preserve"> (Accessed: [date]).</w:t>
      </w:r>
    </w:p>
    <w:p>
      <w:r>
        <w:rPr>
          <w:rFonts w:ascii="Arial" w:hAnsi="Arial"/>
          <w:sz w:val="24"/>
        </w:rPr>
        <w:t xml:space="preserve">Information Commissioner's Office (no date) </w:t>
      </w:r>
      <w:r>
        <w:rPr>
          <w:rFonts w:ascii="Arial" w:hAnsi="Arial"/>
          <w:i/>
          <w:sz w:val="24"/>
        </w:rPr>
        <w:t>Guide to the UK GDPR: lawful basis for processing</w:t>
      </w:r>
      <w:r>
        <w:rPr>
          <w:rFonts w:ascii="Arial" w:hAnsi="Arial"/>
          <w:sz w:val="24"/>
        </w:rPr>
        <w:t xml:space="preserve">. Available at: </w:t>
      </w:r>
      <w:hyperlink r:id="rId14">
        <w:r>
          <w:rPr>
            <w:rFonts w:ascii="Arial" w:hAnsi="Arial"/>
            <w:color w:val="0563C1"/>
            <w:u w:val="single"/>
            <w:sz w:val="24"/>
          </w:rPr>
          <w:t>https://ico.org.uk</w:t>
        </w:r>
      </w:hyperlink>
      <w:r>
        <w:rPr>
          <w:rFonts w:ascii="Arial" w:hAnsi="Arial"/>
          <w:sz w:val="24"/>
        </w:rPr>
        <w:t xml:space="preserve"> (Accessed: [date]).</w:t>
      </w:r>
    </w:p>
    <w:p>
      <w:r>
        <w:rPr>
          <w:rFonts w:ascii="Arial" w:hAnsi="Arial"/>
          <w:sz w:val="24"/>
        </w:rPr>
        <w:t xml:space="preserve">Langley, G.J., Moen, R.D., Nolan, K.M., Nolan, T.W., Norman, C.L. and Provost, L.P. (2009) </w:t>
      </w:r>
      <w:r>
        <w:rPr>
          <w:rFonts w:ascii="Arial" w:hAnsi="Arial"/>
          <w:i/>
          <w:sz w:val="24"/>
        </w:rPr>
        <w:t>The improvement guide: a practical approach to enhancing organizational performance</w:t>
      </w:r>
      <w:r>
        <w:rPr>
          <w:rFonts w:ascii="Arial" w:hAnsi="Arial"/>
          <w:sz w:val="24"/>
        </w:rPr>
        <w:t>. 2nd edn. San Francisco: Jossey-Bass.</w:t>
      </w:r>
    </w:p>
    <w:p>
      <w:r>
        <w:rPr>
          <w:rFonts w:ascii="Arial" w:hAnsi="Arial"/>
          <w:sz w:val="24"/>
        </w:rPr>
        <w:t xml:space="preserve">Marmot, M., Allen, J., Boyce, T., Goldblatt, P. and Morrison, J. (2020) </w:t>
      </w:r>
      <w:r>
        <w:rPr>
          <w:rFonts w:ascii="Arial" w:hAnsi="Arial"/>
          <w:i/>
          <w:sz w:val="24"/>
        </w:rPr>
        <w:t>Health equity in England: the Marmot review 10 years on</w:t>
      </w:r>
      <w:r>
        <w:rPr>
          <w:rFonts w:ascii="Arial" w:hAnsi="Arial"/>
          <w:sz w:val="24"/>
        </w:rPr>
        <w:t>. London: Institute of Health Equity.</w:t>
      </w:r>
    </w:p>
    <w:p>
      <w:r>
        <w:rPr>
          <w:rFonts w:ascii="Arial" w:hAnsi="Arial"/>
          <w:sz w:val="24"/>
        </w:rPr>
        <w:t xml:space="preserve">Matthias, A. (2004) 'The responsibility gap: ascribing responsibility for the actions of learning automata', </w:t>
      </w:r>
      <w:r>
        <w:rPr>
          <w:rFonts w:ascii="Arial" w:hAnsi="Arial"/>
          <w:i/>
          <w:sz w:val="24"/>
        </w:rPr>
        <w:t>Ethics and Information Technology</w:t>
      </w:r>
      <w:r>
        <w:rPr>
          <w:rFonts w:ascii="Arial" w:hAnsi="Arial"/>
          <w:sz w:val="24"/>
        </w:rPr>
        <w:t>, 6(3), pp. 175–183.</w:t>
      </w:r>
    </w:p>
    <w:p>
      <w:r>
        <w:rPr>
          <w:rFonts w:ascii="Arial" w:hAnsi="Arial"/>
          <w:sz w:val="24"/>
        </w:rPr>
        <w:t xml:space="preserve">Medical Devices Regulations 2002. SI 2002/618. Available at: </w:t>
      </w:r>
      <w:hyperlink r:id="rId15">
        <w:r>
          <w:rPr>
            <w:rFonts w:ascii="Arial" w:hAnsi="Arial"/>
            <w:color w:val="0563C1"/>
            <w:u w:val="single"/>
            <w:sz w:val="24"/>
          </w:rPr>
          <w:t>https://www.legislation.gov.uk/uksi/2002/618</w:t>
        </w:r>
      </w:hyperlink>
      <w:r>
        <w:rPr>
          <w:rFonts w:ascii="Arial" w:hAnsi="Arial"/>
          <w:sz w:val="24"/>
        </w:rPr>
        <w:t xml:space="preserve"> (Accessed: [date]).</w:t>
      </w:r>
    </w:p>
    <w:p>
      <w:r>
        <w:rPr>
          <w:rFonts w:ascii="Arial" w:hAnsi="Arial"/>
          <w:sz w:val="24"/>
        </w:rPr>
        <w:t xml:space="preserve">Medicines and Healthcare products Regulatory Agency (2023) </w:t>
      </w:r>
      <w:r>
        <w:rPr>
          <w:rFonts w:ascii="Arial" w:hAnsi="Arial"/>
          <w:i/>
          <w:sz w:val="24"/>
        </w:rPr>
        <w:t>Software and artificial intelligence (AI) as a medical device</w:t>
      </w:r>
      <w:r>
        <w:rPr>
          <w:rFonts w:ascii="Arial" w:hAnsi="Arial"/>
          <w:sz w:val="24"/>
        </w:rPr>
        <w:t xml:space="preserve">. Available at: </w:t>
      </w:r>
      <w:hyperlink r:id="rId16">
        <w:r>
          <w:rPr>
            <w:rFonts w:ascii="Arial" w:hAnsi="Arial"/>
            <w:color w:val="0563C1"/>
            <w:u w:val="single"/>
            <w:sz w:val="24"/>
          </w:rPr>
          <w:t>https://www.gov.uk</w:t>
        </w:r>
      </w:hyperlink>
      <w:r>
        <w:rPr>
          <w:rFonts w:ascii="Arial" w:hAnsi="Arial"/>
          <w:sz w:val="24"/>
        </w:rPr>
        <w:t xml:space="preserve"> (Accessed: [date]).</w:t>
      </w:r>
    </w:p>
    <w:p>
      <w:r>
        <w:rPr>
          <w:rFonts w:ascii="Arial" w:hAnsi="Arial"/>
          <w:sz w:val="24"/>
        </w:rPr>
        <w:t xml:space="preserve">Mental Capacity Act 2005. c. 9. Available at: </w:t>
      </w:r>
      <w:hyperlink r:id="rId17">
        <w:r>
          <w:rPr>
            <w:rFonts w:ascii="Arial" w:hAnsi="Arial"/>
            <w:color w:val="0563C1"/>
            <w:u w:val="single"/>
            <w:sz w:val="24"/>
          </w:rPr>
          <w:t>https://www.legislation.gov.uk/ukpga/2005/9</w:t>
        </w:r>
      </w:hyperlink>
      <w:r>
        <w:rPr>
          <w:rFonts w:ascii="Arial" w:hAnsi="Arial"/>
          <w:sz w:val="24"/>
        </w:rPr>
        <w:t xml:space="preserve"> (Accessed: [date]).</w:t>
      </w:r>
    </w:p>
    <w:p>
      <w:r>
        <w:rPr>
          <w:rFonts w:ascii="Arial" w:hAnsi="Arial"/>
          <w:sz w:val="24"/>
        </w:rPr>
        <w:t xml:space="preserve">Ministry of Health and Population (2023) </w:t>
      </w:r>
      <w:r>
        <w:rPr>
          <w:rFonts w:ascii="Arial" w:hAnsi="Arial"/>
          <w:i/>
          <w:sz w:val="24"/>
        </w:rPr>
        <w:t>Nepal health sector strategy 2023–2030</w:t>
      </w:r>
      <w:r>
        <w:rPr>
          <w:rFonts w:ascii="Arial" w:hAnsi="Arial"/>
          <w:sz w:val="24"/>
        </w:rPr>
        <w:t>. Kathmandu: Government of Nepal.</w:t>
      </w:r>
    </w:p>
    <w:p>
      <w:r>
        <w:rPr>
          <w:rFonts w:ascii="Arial" w:hAnsi="Arial"/>
          <w:sz w:val="24"/>
        </w:rPr>
        <w:t xml:space="preserve">Müller, M., Jürgens, J., Redaèlli, M., Klingberg, K., Hautz, W.E. and Stock, S. (2018) 'Impact of the communication and patient hand-off tool SBAR on patient safety: a systematic review', </w:t>
      </w:r>
      <w:r>
        <w:rPr>
          <w:rFonts w:ascii="Arial" w:hAnsi="Arial"/>
          <w:i/>
          <w:sz w:val="24"/>
        </w:rPr>
        <w:t>BMJ Open</w:t>
      </w:r>
      <w:r>
        <w:rPr>
          <w:rFonts w:ascii="Arial" w:hAnsi="Arial"/>
          <w:sz w:val="24"/>
        </w:rPr>
        <w:t>, 8(8), e022202.</w:t>
      </w:r>
    </w:p>
    <w:p>
      <w:r>
        <w:rPr>
          <w:rFonts w:ascii="Arial" w:hAnsi="Arial"/>
          <w:sz w:val="24"/>
        </w:rPr>
        <w:t xml:space="preserve">Nancarrow, S.A., Booth, A., Ariss, S., Smith, T., Enderby, P. and Roots, A. (2013) 'Ten principles of good interdisciplinary team work', </w:t>
      </w:r>
      <w:r>
        <w:rPr>
          <w:rFonts w:ascii="Arial" w:hAnsi="Arial"/>
          <w:i/>
          <w:sz w:val="24"/>
        </w:rPr>
        <w:t>Human Resources for Health</w:t>
      </w:r>
      <w:r>
        <w:rPr>
          <w:rFonts w:ascii="Arial" w:hAnsi="Arial"/>
          <w:sz w:val="24"/>
        </w:rPr>
        <w:t>, 11, article 19.</w:t>
      </w:r>
    </w:p>
    <w:p>
      <w:r>
        <w:rPr>
          <w:rFonts w:ascii="Arial" w:hAnsi="Arial"/>
          <w:sz w:val="24"/>
        </w:rPr>
        <w:t xml:space="preserve">National Data Guardian (2020) </w:t>
      </w:r>
      <w:r>
        <w:rPr>
          <w:rFonts w:ascii="Arial" w:hAnsi="Arial"/>
          <w:i/>
          <w:sz w:val="24"/>
        </w:rPr>
        <w:t>The Caldicott Principles</w:t>
      </w:r>
      <w:r>
        <w:rPr>
          <w:rFonts w:ascii="Arial" w:hAnsi="Arial"/>
          <w:sz w:val="24"/>
        </w:rPr>
        <w:t>. London: Office of the National Data Guardian.</w:t>
      </w:r>
    </w:p>
    <w:p>
      <w:r>
        <w:rPr>
          <w:rFonts w:ascii="Arial" w:hAnsi="Arial"/>
          <w:sz w:val="24"/>
        </w:rPr>
        <w:t xml:space="preserve">NHS England (2018) </w:t>
      </w:r>
      <w:r>
        <w:rPr>
          <w:rFonts w:ascii="Arial" w:hAnsi="Arial"/>
          <w:i/>
          <w:sz w:val="24"/>
        </w:rPr>
        <w:t>DCB0129 and DCB0160: clinical risk management standards for health IT systems</w:t>
      </w:r>
      <w:r>
        <w:rPr>
          <w:rFonts w:ascii="Arial" w:hAnsi="Arial"/>
          <w:sz w:val="24"/>
        </w:rPr>
        <w:t>. Leeds: NHS England.</w:t>
      </w:r>
    </w:p>
    <w:p>
      <w:r>
        <w:rPr>
          <w:rFonts w:ascii="Arial" w:hAnsi="Arial"/>
          <w:sz w:val="24"/>
        </w:rPr>
        <w:t xml:space="preserve">NHS England (2023) </w:t>
      </w:r>
      <w:r>
        <w:rPr>
          <w:rFonts w:ascii="Arial" w:hAnsi="Arial"/>
          <w:i/>
          <w:sz w:val="24"/>
        </w:rPr>
        <w:t>Records management code of practice</w:t>
      </w:r>
      <w:r>
        <w:rPr>
          <w:rFonts w:ascii="Arial" w:hAnsi="Arial"/>
          <w:sz w:val="24"/>
        </w:rPr>
        <w:t>. Leeds: NHS England.</w:t>
      </w:r>
    </w:p>
    <w:p>
      <w:r>
        <w:rPr>
          <w:rFonts w:ascii="Arial" w:hAnsi="Arial"/>
          <w:sz w:val="24"/>
        </w:rPr>
        <w:t xml:space="preserve">NHS Leadership Academy (2013) </w:t>
      </w:r>
      <w:r>
        <w:rPr>
          <w:rFonts w:ascii="Arial" w:hAnsi="Arial"/>
          <w:i/>
          <w:sz w:val="24"/>
        </w:rPr>
        <w:t>Healthcare leadership model: the nine dimensions of leadership behaviour</w:t>
      </w:r>
      <w:r>
        <w:rPr>
          <w:rFonts w:ascii="Arial" w:hAnsi="Arial"/>
          <w:sz w:val="24"/>
        </w:rPr>
        <w:t>. Leeds: NHS Leadership Academy.</w:t>
      </w:r>
    </w:p>
    <w:p>
      <w:r>
        <w:rPr>
          <w:rFonts w:ascii="Arial" w:hAnsi="Arial"/>
          <w:sz w:val="24"/>
        </w:rPr>
        <w:t xml:space="preserve">NHSX (2019) </w:t>
      </w:r>
      <w:r>
        <w:rPr>
          <w:rFonts w:ascii="Arial" w:hAnsi="Arial"/>
          <w:i/>
          <w:sz w:val="24"/>
        </w:rPr>
        <w:t>Artificial intelligence: how to get it right</w:t>
      </w:r>
      <w:r>
        <w:rPr>
          <w:rFonts w:ascii="Arial" w:hAnsi="Arial"/>
          <w:sz w:val="24"/>
        </w:rPr>
        <w:t>. London: NHSX.</w:t>
      </w:r>
    </w:p>
    <w:p>
      <w:r>
        <w:rPr>
          <w:rFonts w:ascii="Arial" w:hAnsi="Arial"/>
          <w:sz w:val="24"/>
        </w:rPr>
        <w:t xml:space="preserve">Nursing and Midwifery Council (no date) </w:t>
      </w:r>
      <w:r>
        <w:rPr>
          <w:rFonts w:ascii="Arial" w:hAnsi="Arial"/>
          <w:i/>
          <w:sz w:val="24"/>
        </w:rPr>
        <w:t>Registration: applying from outside the UK</w:t>
      </w:r>
      <w:r>
        <w:rPr>
          <w:rFonts w:ascii="Arial" w:hAnsi="Arial"/>
          <w:sz w:val="24"/>
        </w:rPr>
        <w:t xml:space="preserve">. Available at: </w:t>
      </w:r>
      <w:hyperlink r:id="rId18">
        <w:r>
          <w:rPr>
            <w:rFonts w:ascii="Arial" w:hAnsi="Arial"/>
            <w:color w:val="0563C1"/>
            <w:u w:val="single"/>
            <w:sz w:val="24"/>
          </w:rPr>
          <w:t>https://www.nmc.org.uk</w:t>
        </w:r>
      </w:hyperlink>
      <w:r>
        <w:rPr>
          <w:rFonts w:ascii="Arial" w:hAnsi="Arial"/>
          <w:sz w:val="24"/>
        </w:rPr>
        <w:t xml:space="preserve"> (Accessed: [date]).</w:t>
      </w:r>
    </w:p>
    <w:p>
      <w:r>
        <w:rPr>
          <w:rFonts w:ascii="Arial" w:hAnsi="Arial"/>
          <w:sz w:val="24"/>
        </w:rPr>
        <w:t xml:space="preserve">Nursing and Midwifery Council (2018) </w:t>
      </w:r>
      <w:r>
        <w:rPr>
          <w:rFonts w:ascii="Arial" w:hAnsi="Arial"/>
          <w:i/>
          <w:sz w:val="24"/>
        </w:rPr>
        <w:t>The Code: professional standards of practice and behaviour for nurses, midwives and nursing associates</w:t>
      </w:r>
      <w:r>
        <w:rPr>
          <w:rFonts w:ascii="Arial" w:hAnsi="Arial"/>
          <w:sz w:val="24"/>
        </w:rPr>
        <w:t>. London: NMC.</w:t>
      </w:r>
    </w:p>
    <w:p>
      <w:r>
        <w:rPr>
          <w:rFonts w:ascii="Arial" w:hAnsi="Arial"/>
          <w:sz w:val="24"/>
        </w:rPr>
        <w:t xml:space="preserve">Parasuraman, R. and Manzey, D.H. (2010) 'Complacency and bias in human use of automation: an attentional integration', </w:t>
      </w:r>
      <w:r>
        <w:rPr>
          <w:rFonts w:ascii="Arial" w:hAnsi="Arial"/>
          <w:i/>
          <w:sz w:val="24"/>
        </w:rPr>
        <w:t>Human Factors</w:t>
      </w:r>
      <w:r>
        <w:rPr>
          <w:rFonts w:ascii="Arial" w:hAnsi="Arial"/>
          <w:sz w:val="24"/>
        </w:rPr>
        <w:t>, 52(3), pp. 381–410.</w:t>
      </w:r>
    </w:p>
    <w:p>
      <w:r>
        <w:rPr>
          <w:rFonts w:ascii="Arial" w:hAnsi="Arial"/>
          <w:sz w:val="24"/>
        </w:rPr>
        <w:t xml:space="preserve">Polanyi, M. (1966) </w:t>
      </w:r>
      <w:r>
        <w:rPr>
          <w:rFonts w:ascii="Arial" w:hAnsi="Arial"/>
          <w:i/>
          <w:sz w:val="24"/>
        </w:rPr>
        <w:t>The tacit dimension</w:t>
      </w:r>
      <w:r>
        <w:rPr>
          <w:rFonts w:ascii="Arial" w:hAnsi="Arial"/>
          <w:sz w:val="24"/>
        </w:rPr>
        <w:t>. London: Routledge and Kegan Paul.</w:t>
      </w:r>
    </w:p>
    <w:p>
      <w:r>
        <w:rPr>
          <w:rFonts w:ascii="Arial" w:hAnsi="Arial"/>
          <w:sz w:val="24"/>
        </w:rPr>
        <w:t xml:space="preserve">Reason, J. (2000) 'Human error: models and management', </w:t>
      </w:r>
      <w:r>
        <w:rPr>
          <w:rFonts w:ascii="Arial" w:hAnsi="Arial"/>
          <w:i/>
          <w:sz w:val="24"/>
        </w:rPr>
        <w:t>BMJ</w:t>
      </w:r>
      <w:r>
        <w:rPr>
          <w:rFonts w:ascii="Arial" w:hAnsi="Arial"/>
          <w:sz w:val="24"/>
        </w:rPr>
        <w:t>, 320(7237), pp. 768–770.</w:t>
      </w:r>
    </w:p>
    <w:p>
      <w:r>
        <w:rPr>
          <w:rFonts w:ascii="Arial" w:hAnsi="Arial"/>
          <w:sz w:val="24"/>
        </w:rPr>
        <w:t xml:space="preserve">Reeves, S., Pelone, F., Harrison, R., Goldman, J. and Zwarenstein, M. (2017) 'Interprofessional collaboration to improve professional practice and healthcare outcomes', </w:t>
      </w:r>
      <w:r>
        <w:rPr>
          <w:rFonts w:ascii="Arial" w:hAnsi="Arial"/>
          <w:i/>
          <w:sz w:val="24"/>
        </w:rPr>
        <w:t>Cochrane Database of Systematic Reviews</w:t>
      </w:r>
      <w:r>
        <w:rPr>
          <w:rFonts w:ascii="Arial" w:hAnsi="Arial"/>
          <w:sz w:val="24"/>
        </w:rPr>
        <w:t>, 6, CD000072.</w:t>
      </w:r>
    </w:p>
    <w:p>
      <w:r>
        <w:rPr>
          <w:rFonts w:ascii="Arial" w:hAnsi="Arial"/>
          <w:sz w:val="24"/>
        </w:rPr>
        <w:t xml:space="preserve">Rolfe, G., Freshwater, D. and Jasper, M. (2001) </w:t>
      </w:r>
      <w:r>
        <w:rPr>
          <w:rFonts w:ascii="Arial" w:hAnsi="Arial"/>
          <w:i/>
          <w:sz w:val="24"/>
        </w:rPr>
        <w:t>Critical reflection in nursing and the helping professions: a user's guide</w:t>
      </w:r>
      <w:r>
        <w:rPr>
          <w:rFonts w:ascii="Arial" w:hAnsi="Arial"/>
          <w:sz w:val="24"/>
        </w:rPr>
        <w:t>. Basingstoke: Palgrave Macmillan.</w:t>
      </w:r>
    </w:p>
    <w:p>
      <w:r>
        <w:rPr>
          <w:rFonts w:ascii="Arial" w:hAnsi="Arial"/>
          <w:sz w:val="24"/>
        </w:rPr>
        <w:t xml:space="preserve">Sackett, D.L., Rosenberg, W.M.C., Gray, J.A.M., Haynes, R.B. and Richardson, W.S. (1996) 'Evidence based medicine: what it is and what it isn't', </w:t>
      </w:r>
      <w:r>
        <w:rPr>
          <w:rFonts w:ascii="Arial" w:hAnsi="Arial"/>
          <w:i/>
          <w:sz w:val="24"/>
        </w:rPr>
        <w:t>BMJ</w:t>
      </w:r>
      <w:r>
        <w:rPr>
          <w:rFonts w:ascii="Arial" w:hAnsi="Arial"/>
          <w:sz w:val="24"/>
        </w:rPr>
        <w:t>, 312(7023), pp. 71–72.</w:t>
      </w:r>
    </w:p>
    <w:p>
      <w:r>
        <w:rPr>
          <w:rFonts w:ascii="Arial" w:hAnsi="Arial"/>
          <w:sz w:val="24"/>
        </w:rPr>
        <w:t xml:space="preserve">Schön, D.A. (1983) </w:t>
      </w:r>
      <w:r>
        <w:rPr>
          <w:rFonts w:ascii="Arial" w:hAnsi="Arial"/>
          <w:i/>
          <w:sz w:val="24"/>
        </w:rPr>
        <w:t>The reflective practitioner: how professionals think in action</w:t>
      </w:r>
      <w:r>
        <w:rPr>
          <w:rFonts w:ascii="Arial" w:hAnsi="Arial"/>
          <w:sz w:val="24"/>
        </w:rPr>
        <w:t>. New York: Basic Books.</w:t>
      </w:r>
    </w:p>
    <w:p>
      <w:r>
        <w:rPr>
          <w:rFonts w:ascii="Arial" w:hAnsi="Arial"/>
          <w:sz w:val="24"/>
        </w:rPr>
        <w:t xml:space="preserve">Seyyed-Kalantari, L., Zhang, H., McDermott, M.B.A., Chen, I.Y. and Ghassemi, M. (2021) 'Underdiagnosis bias of artificial intelligence algorithms applied to chest radiographs in under-served patient populations', </w:t>
      </w:r>
      <w:r>
        <w:rPr>
          <w:rFonts w:ascii="Arial" w:hAnsi="Arial"/>
          <w:i/>
          <w:sz w:val="24"/>
        </w:rPr>
        <w:t>Nature Medicine</w:t>
      </w:r>
      <w:r>
        <w:rPr>
          <w:rFonts w:ascii="Arial" w:hAnsi="Arial"/>
          <w:sz w:val="24"/>
        </w:rPr>
        <w:t>, 27(12), pp. 2176–2182.</w:t>
      </w:r>
    </w:p>
    <w:p>
      <w:r>
        <w:rPr>
          <w:rFonts w:ascii="Arial" w:hAnsi="Arial"/>
          <w:sz w:val="24"/>
        </w:rPr>
        <w:t xml:space="preserve">Skills for Care (2013) </w:t>
      </w:r>
      <w:r>
        <w:rPr>
          <w:rFonts w:ascii="Arial" w:hAnsi="Arial"/>
          <w:i/>
          <w:sz w:val="24"/>
        </w:rPr>
        <w:t>Code of conduct for healthcare support workers and adult social care workers in England</w:t>
      </w:r>
      <w:r>
        <w:rPr>
          <w:rFonts w:ascii="Arial" w:hAnsi="Arial"/>
          <w:sz w:val="24"/>
        </w:rPr>
        <w:t>. Leeds: Skills for Care.</w:t>
      </w:r>
    </w:p>
    <w:p>
      <w:r>
        <w:rPr>
          <w:rFonts w:ascii="Arial" w:hAnsi="Arial"/>
          <w:sz w:val="24"/>
        </w:rPr>
        <w:t xml:space="preserve">Skills for Care, Health Education England and Skills for Health (2015) </w:t>
      </w:r>
      <w:r>
        <w:rPr>
          <w:rFonts w:ascii="Arial" w:hAnsi="Arial"/>
          <w:i/>
          <w:sz w:val="24"/>
        </w:rPr>
        <w:t>Care Certificate standards</w:t>
      </w:r>
      <w:r>
        <w:rPr>
          <w:rFonts w:ascii="Arial" w:hAnsi="Arial"/>
          <w:sz w:val="24"/>
        </w:rPr>
        <w:t>. Leeds: Skills for Care.</w:t>
      </w:r>
    </w:p>
    <w:p>
      <w:r>
        <w:rPr>
          <w:rFonts w:ascii="Arial" w:hAnsi="Arial"/>
          <w:sz w:val="24"/>
        </w:rPr>
        <w:t xml:space="preserve">Skills for Care (no date) </w:t>
      </w:r>
      <w:r>
        <w:rPr>
          <w:rFonts w:ascii="Arial" w:hAnsi="Arial"/>
          <w:i/>
          <w:sz w:val="24"/>
        </w:rPr>
        <w:t>Level 5 diploma in leadership and management for adult care</w:t>
      </w:r>
      <w:r>
        <w:rPr>
          <w:rFonts w:ascii="Arial" w:hAnsi="Arial"/>
          <w:sz w:val="24"/>
        </w:rPr>
        <w:t xml:space="preserve">. Available at: </w:t>
      </w:r>
      <w:hyperlink r:id="rId19">
        <w:r>
          <w:rPr>
            <w:rFonts w:ascii="Arial" w:hAnsi="Arial"/>
            <w:color w:val="0563C1"/>
            <w:u w:val="single"/>
            <w:sz w:val="24"/>
          </w:rPr>
          <w:t>https://www.skillsforcare.org.uk</w:t>
        </w:r>
      </w:hyperlink>
      <w:r>
        <w:rPr>
          <w:rFonts w:ascii="Arial" w:hAnsi="Arial"/>
          <w:sz w:val="24"/>
        </w:rPr>
        <w:t xml:space="preserve"> (Accessed: [date]).</w:t>
      </w:r>
    </w:p>
    <w:p>
      <w:r>
        <w:rPr>
          <w:rFonts w:ascii="Arial" w:hAnsi="Arial"/>
          <w:sz w:val="24"/>
        </w:rPr>
        <w:t xml:space="preserve">Skills for Care (2025) </w:t>
      </w:r>
      <w:r>
        <w:rPr>
          <w:rFonts w:ascii="Arial" w:hAnsi="Arial"/>
          <w:i/>
          <w:sz w:val="24"/>
        </w:rPr>
        <w:t>The state of the adult social care sector and workforce in England</w:t>
      </w:r>
      <w:r>
        <w:rPr>
          <w:rFonts w:ascii="Arial" w:hAnsi="Arial"/>
          <w:sz w:val="24"/>
        </w:rPr>
        <w:t>. Leeds: Skills for Care.</w:t>
      </w:r>
    </w:p>
    <w:p>
      <w:r>
        <w:rPr>
          <w:rFonts w:ascii="Arial" w:hAnsi="Arial"/>
          <w:sz w:val="24"/>
        </w:rPr>
        <w:t xml:space="preserve">Topol, E. (2019) </w:t>
      </w:r>
      <w:r>
        <w:rPr>
          <w:rFonts w:ascii="Arial" w:hAnsi="Arial"/>
          <w:i/>
          <w:sz w:val="24"/>
        </w:rPr>
        <w:t>The Topol review: preparing the healthcare workforce to deliver the digital future</w:t>
      </w:r>
      <w:r>
        <w:rPr>
          <w:rFonts w:ascii="Arial" w:hAnsi="Arial"/>
          <w:sz w:val="24"/>
        </w:rPr>
        <w:t>. London: Health Education England.</w:t>
      </w:r>
    </w:p>
    <w:p>
      <w:r>
        <w:rPr>
          <w:rFonts w:ascii="Arial" w:hAnsi="Arial"/>
          <w:sz w:val="24"/>
        </w:rPr>
        <w:t xml:space="preserve">Tversky, A. and Kahneman, D. (1974) 'Judgment under uncertainty: heuristics and biases', </w:t>
      </w:r>
      <w:r>
        <w:rPr>
          <w:rFonts w:ascii="Arial" w:hAnsi="Arial"/>
          <w:i/>
          <w:sz w:val="24"/>
        </w:rPr>
        <w:t>Science</w:t>
      </w:r>
      <w:r>
        <w:rPr>
          <w:rFonts w:ascii="Arial" w:hAnsi="Arial"/>
          <w:sz w:val="24"/>
        </w:rPr>
        <w:t>, 185(4157), pp. 1124–1131.</w:t>
      </w:r>
    </w:p>
    <w:p>
      <w:r>
        <w:rPr>
          <w:rFonts w:ascii="Arial" w:hAnsi="Arial"/>
          <w:sz w:val="24"/>
        </w:rPr>
        <w:t xml:space="preserve">UK General Data Protection Regulation. Retained Regulation (EU) 2016/679. Available at: </w:t>
      </w:r>
      <w:hyperlink r:id="rId20">
        <w:r>
          <w:rPr>
            <w:rFonts w:ascii="Arial" w:hAnsi="Arial"/>
            <w:color w:val="0563C1"/>
            <w:u w:val="single"/>
            <w:sz w:val="24"/>
          </w:rPr>
          <w:t>https://www.legislation.gov.uk/eur/2016/679</w:t>
        </w:r>
      </w:hyperlink>
      <w:r>
        <w:rPr>
          <w:rFonts w:ascii="Arial" w:hAnsi="Arial"/>
          <w:sz w:val="24"/>
        </w:rPr>
        <w:t xml:space="preserve"> (Accessed: [date]).</w:t>
      </w:r>
    </w:p>
    <w:p>
      <w:r>
        <w:rPr>
          <w:rFonts w:ascii="Arial" w:hAnsi="Arial"/>
          <w:sz w:val="24"/>
        </w:rPr>
        <w:t xml:space="preserve">West, M.A. (2021) </w:t>
      </w:r>
      <w:r>
        <w:rPr>
          <w:rFonts w:ascii="Arial" w:hAnsi="Arial"/>
          <w:i/>
          <w:sz w:val="24"/>
        </w:rPr>
        <w:t>Compassionate leadership: sustaining wisdom, humanity and presence in health and social care</w:t>
      </w:r>
      <w:r>
        <w:rPr>
          <w:rFonts w:ascii="Arial" w:hAnsi="Arial"/>
          <w:sz w:val="24"/>
        </w:rPr>
        <w:t>. London: The Swirling Leaf Press.</w:t>
      </w:r>
    </w:p>
    <w:p>
      <w:r>
        <w:rPr>
          <w:rFonts w:ascii="Arial" w:hAnsi="Arial"/>
          <w:sz w:val="24"/>
        </w:rPr>
        <w:t xml:space="preserve">World Health Organization Commission on Social Determinants of Health (2008) </w:t>
      </w:r>
      <w:r>
        <w:rPr>
          <w:rFonts w:ascii="Arial" w:hAnsi="Arial"/>
          <w:i/>
          <w:sz w:val="24"/>
        </w:rPr>
        <w:t>Closing the gap in a generation: health equity through action on the social determinants of health</w:t>
      </w:r>
      <w:r>
        <w:rPr>
          <w:rFonts w:ascii="Arial" w:hAnsi="Arial"/>
          <w:sz w:val="24"/>
        </w:rPr>
        <w:t>. Geneva: WHO.</w:t>
      </w:r>
    </w:p>
    <w:p>
      <w:r>
        <w:br w:type="page"/>
      </w:r>
    </w:p>
    <w:p>
      <w:pPr>
        <w:pStyle w:val="Heading1"/>
      </w:pPr>
      <w:r>
        <w:t>PART B (not for submission). Report: how the blueprint was applied, and what was improved</w:t>
      </w:r>
    </w:p>
    <w:p>
      <w:pPr>
        <w:pStyle w:val="Heading2"/>
      </w:pPr>
      <w:r>
        <w:t>1. Result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t>Item</w:t>
            </w:r>
          </w:p>
        </w:tc>
        <w:tc>
          <w:tcPr>
            <w:tcW w:type="dxa" w:w="2880"/>
          </w:tcPr>
          <w:p>
            <w:r>
              <w:rPr>
                <w:rFonts w:ascii="Arial" w:hAnsi="Arial"/>
                <w:b/>
                <w:sz w:val="24"/>
              </w:rPr>
              <w:t>Target (blueprint)</w:t>
            </w:r>
          </w:p>
        </w:tc>
        <w:tc>
          <w:tcPr>
            <w:tcW w:type="dxa" w:w="2880"/>
          </w:tcPr>
          <w:p>
            <w:r>
              <w:rPr>
                <w:rFonts w:ascii="Arial" w:hAnsi="Arial"/>
                <w:b/>
                <w:sz w:val="24"/>
              </w:rPr>
              <w:t>Delivered</w:t>
            </w:r>
          </w:p>
        </w:tc>
      </w:tr>
      <w:tr>
        <w:tc>
          <w:tcPr>
            <w:tcW w:type="dxa" w:w="2880"/>
          </w:tcPr>
          <w:p>
            <w:r>
              <w:rPr>
                <w:rFonts w:ascii="Arial" w:hAnsi="Arial"/>
                <w:sz w:val="24"/>
              </w:rPr>
              <w:t>Section 1</w:t>
            </w:r>
          </w:p>
        </w:tc>
        <w:tc>
          <w:tcPr>
            <w:tcW w:type="dxa" w:w="2880"/>
          </w:tcPr>
          <w:p>
            <w:r>
              <w:rPr>
                <w:rFonts w:ascii="Arial" w:hAnsi="Arial"/>
                <w:sz w:val="24"/>
              </w:rPr>
              <w:t>1,000</w:t>
            </w:r>
          </w:p>
        </w:tc>
        <w:tc>
          <w:tcPr>
            <w:tcW w:type="dxa" w:w="2880"/>
          </w:tcPr>
          <w:p>
            <w:r>
              <w:rPr>
                <w:rFonts w:ascii="Arial" w:hAnsi="Arial"/>
                <w:sz w:val="24"/>
              </w:rPr>
              <w:t>about 1,000 (1.1: 148, 1.2: 359, 1.3: 247, 1.4: 141, 1.5: 72, plus the added citations)</w:t>
            </w:r>
          </w:p>
        </w:tc>
      </w:tr>
      <w:tr>
        <w:tc>
          <w:tcPr>
            <w:tcW w:type="dxa" w:w="2880"/>
          </w:tcPr>
          <w:p>
            <w:r>
              <w:rPr>
                <w:rFonts w:ascii="Arial" w:hAnsi="Arial"/>
                <w:sz w:val="24"/>
              </w:rPr>
              <w:t>Section 2</w:t>
            </w:r>
          </w:p>
        </w:tc>
        <w:tc>
          <w:tcPr>
            <w:tcW w:type="dxa" w:w="2880"/>
          </w:tcPr>
          <w:p>
            <w:r>
              <w:rPr>
                <w:rFonts w:ascii="Arial" w:hAnsi="Arial"/>
                <w:sz w:val="24"/>
              </w:rPr>
              <w:t>3,000</w:t>
            </w:r>
          </w:p>
        </w:tc>
        <w:tc>
          <w:tcPr>
            <w:tcW w:type="dxa" w:w="2880"/>
          </w:tcPr>
          <w:p>
            <w:r>
              <w:rPr>
                <w:rFonts w:ascii="Arial" w:hAnsi="Arial"/>
                <w:sz w:val="24"/>
              </w:rPr>
              <w:t>about 2,900 (2.1: 342, 2.2: 790, 2.3: 622, 2.4: 497, 2.5: 384, 2.6: 254)</w:t>
            </w:r>
          </w:p>
        </w:tc>
      </w:tr>
      <w:tr>
        <w:tc>
          <w:tcPr>
            <w:tcW w:type="dxa" w:w="2880"/>
          </w:tcPr>
          <w:p>
            <w:r>
              <w:rPr>
                <w:rFonts w:ascii="Arial" w:hAnsi="Arial"/>
                <w:sz w:val="24"/>
              </w:rPr>
              <w:t>Section 3</w:t>
            </w:r>
          </w:p>
        </w:tc>
        <w:tc>
          <w:tcPr>
            <w:tcW w:type="dxa" w:w="2880"/>
          </w:tcPr>
          <w:p>
            <w:r>
              <w:rPr>
                <w:rFonts w:ascii="Arial" w:hAnsi="Arial"/>
                <w:sz w:val="24"/>
              </w:rPr>
              <w:t>1,000</w:t>
            </w:r>
          </w:p>
        </w:tc>
        <w:tc>
          <w:tcPr>
            <w:tcW w:type="dxa" w:w="2880"/>
          </w:tcPr>
          <w:p>
            <w:r>
              <w:rPr>
                <w:rFonts w:ascii="Arial" w:hAnsi="Arial"/>
                <w:sz w:val="24"/>
              </w:rPr>
              <w:t>about 920 (3.1: 241, 3.2: 268, 3.3: 206, 3.4: 151, 3.5: 44)</w:t>
            </w:r>
          </w:p>
        </w:tc>
      </w:tr>
      <w:tr>
        <w:tc>
          <w:tcPr>
            <w:tcW w:type="dxa" w:w="2880"/>
          </w:tcPr>
          <w:p>
            <w:r>
              <w:rPr>
                <w:rFonts w:ascii="Arial" w:hAnsi="Arial"/>
                <w:sz w:val="24"/>
              </w:rPr>
              <w:t>Total (body, tables and in-text citations counted; headings and reference list not)</w:t>
            </w:r>
          </w:p>
        </w:tc>
        <w:tc>
          <w:tcPr>
            <w:tcW w:type="dxa" w:w="2880"/>
          </w:tcPr>
          <w:p>
            <w:r>
              <w:rPr>
                <w:rFonts w:ascii="Arial" w:hAnsi="Arial"/>
                <w:sz w:val="24"/>
              </w:rPr>
              <w:t>4,850 to 5,000</w:t>
            </w:r>
          </w:p>
        </w:tc>
        <w:tc>
          <w:tcPr>
            <w:tcW w:type="dxa" w:w="2880"/>
          </w:tcPr>
          <w:p>
            <w:r>
              <w:rPr>
                <w:rFonts w:ascii="Arial" w:hAnsi="Arial"/>
                <w:sz w:val="24"/>
              </w:rPr>
              <w:t>4,941, including the [YOU SUPPLY] slots (4,797 without them)</w:t>
            </w:r>
          </w:p>
        </w:tc>
      </w:tr>
      <w:tr>
        <w:tc>
          <w:tcPr>
            <w:tcW w:type="dxa" w:w="2880"/>
          </w:tcPr>
          <w:p>
            <w:r>
              <w:rPr>
                <w:rFonts w:ascii="Arial" w:hAnsi="Arial"/>
                <w:sz w:val="24"/>
              </w:rPr>
              <w:t>Format</w:t>
            </w:r>
          </w:p>
        </w:tc>
        <w:tc>
          <w:tcPr>
            <w:tcW w:type="dxa" w:w="2880"/>
          </w:tcPr>
          <w:p>
            <w:r>
              <w:rPr>
                <w:rFonts w:ascii="Arial" w:hAnsi="Arial"/>
                <w:sz w:val="24"/>
              </w:rPr>
              <w:t>Arial 12, 1.5 spacing, exact headings, title block, Harvard</w:t>
            </w:r>
          </w:p>
        </w:tc>
        <w:tc>
          <w:tcPr>
            <w:tcW w:type="dxa" w:w="2880"/>
          </w:tcPr>
          <w:p>
            <w:r>
              <w:rPr>
                <w:rFonts w:ascii="Arial" w:hAnsi="Arial"/>
                <w:sz w:val="24"/>
              </w:rPr>
              <w:t>Done in `Professional Portfolio.docx`</w:t>
            </w:r>
          </w:p>
        </w:tc>
      </w:tr>
    </w:tbl>
    <w:p>
      <w:r>
        <w:rPr>
          <w:rFonts w:ascii="Arial" w:hAnsi="Arial"/>
          <w:sz w:val="24"/>
        </w:rPr>
        <w:t>The word count includes the text of the placeholder slots, which are sized at roughly 20 words each. Replace each with a similar length and the total stays inside the range. Check the count against your college's rule on tables and citations before submitting.</w:t>
      </w:r>
    </w:p>
    <w:p>
      <w:pPr>
        <w:pStyle w:val="Heading2"/>
      </w:pPr>
      <w:r>
        <w:t>2. How the blueprint was applied, section by section</w:t>
      </w:r>
    </w:p>
    <w:p>
      <w:pPr>
        <w:pStyle w:val="Heading3"/>
      </w:pPr>
      <w:r>
        <w:t>Overall</w:t>
      </w:r>
    </w:p>
    <w:p>
      <w:pPr>
        <w:pStyle w:val="ListBullet"/>
      </w:pPr>
      <w:r>
        <w:rPr>
          <w:rFonts w:ascii="Arial" w:hAnsi="Arial"/>
          <w:b/>
          <w:sz w:val="24"/>
        </w:rPr>
        <w:t>Final case controls Section 2.</w:t>
      </w:r>
      <w:r>
        <w:rPr>
          <w:rFonts w:ascii="Arial" w:hAnsi="Arial"/>
          <w:sz w:val="24"/>
        </w:rPr>
        <w:t xml:space="preserve"> The blueprint says Sections 14 to 18 override the original Mrs Okafor plan. I wrote the hospital imaging case: inpatient ward, documentation task, a flag that "appeared inconsistent", telling the supervisor, no visible follow-up.</w:t>
      </w:r>
    </w:p>
    <w:p>
      <w:pPr>
        <w:pStyle w:val="ListBullet"/>
      </w:pPr>
      <w:r>
        <w:rPr>
          <w:rFonts w:ascii="Arial" w:hAnsi="Arial"/>
          <w:b/>
          <w:sz w:val="24"/>
        </w:rPr>
        <w:t>Golden thread.</w:t>
      </w:r>
      <w:r>
        <w:rPr>
          <w:rFonts w:ascii="Arial" w:hAnsi="Arial"/>
          <w:sz w:val="24"/>
        </w:rPr>
        <w:t xml:space="preserve"> Identity, then case, then plan, all built on one claim: safe care depends on conditions that make independent, accountable judgement possible. 1.1 states it, 1.5 turns it into a testable claim, 2.6 and 3.1 carry it forward, and 3.5 closes it.</w:t>
      </w:r>
    </w:p>
    <w:p>
      <w:pPr>
        <w:pStyle w:val="ListBullet"/>
      </w:pPr>
      <w:r>
        <w:rPr>
          <w:rFonts w:ascii="Arial" w:hAnsi="Arial"/>
          <w:b/>
          <w:sz w:val="24"/>
        </w:rPr>
        <w:t>PEEL+ method.</w:t>
      </w:r>
      <w:r>
        <w:rPr>
          <w:rFonts w:ascii="Arial" w:hAnsi="Arial"/>
          <w:sz w:val="24"/>
        </w:rPr>
        <w:t xml:space="preserve"> Each paragraph is written as claim, evidence, evaluation, so-what.</w:t>
      </w:r>
    </w:p>
    <w:p>
      <w:pPr>
        <w:pStyle w:val="ListBullet"/>
      </w:pPr>
      <w:r>
        <w:rPr>
          <w:rFonts w:ascii="Arial" w:hAnsi="Arial"/>
          <w:b/>
          <w:sz w:val="24"/>
        </w:rPr>
        <w:t>No separate introduction or conclusion.</w:t>
      </w:r>
      <w:r>
        <w:rPr>
          <w:rFonts w:ascii="Arial" w:hAnsi="Arial"/>
          <w:sz w:val="24"/>
        </w:rPr>
        <w:t xml:space="preserve"> The orientation sits inside 1.1 (two to three sentences) and the closing line is 3.5.</w:t>
      </w:r>
    </w:p>
    <w:p>
      <w:pPr>
        <w:pStyle w:val="ListBullet"/>
      </w:pPr>
      <w:r>
        <w:rPr>
          <w:rFonts w:ascii="Arial" w:hAnsi="Arial"/>
          <w:b/>
          <w:sz w:val="24"/>
        </w:rPr>
        <w:t>Language rules.</w:t>
      </w:r>
      <w:r>
        <w:rPr>
          <w:rFonts w:ascii="Arial" w:hAnsi="Arial"/>
          <w:sz w:val="24"/>
        </w:rPr>
        <w:t xml:space="preserve"> British spelling, cautious verbs ("suggests", "on my reading"), no rhetorical questions, first person only for reflective moves, few quotations (none), and none of the banned phrases.</w:t>
      </w:r>
    </w:p>
    <w:p>
      <w:pPr>
        <w:pStyle w:val="Heading3"/>
      </w:pPr>
      <w:r>
        <w:t>Section 1 (Professional Identity)</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instruction</w:t>
            </w:r>
          </w:p>
        </w:tc>
        <w:tc>
          <w:tcPr>
            <w:tcW w:type="dxa" w:w="4320"/>
          </w:tcPr>
          <w:p>
            <w:r>
              <w:rPr>
                <w:rFonts w:ascii="Arial" w:hAnsi="Arial"/>
                <w:b/>
                <w:sz w:val="24"/>
              </w:rPr>
              <w:t>How it was applied</w:t>
            </w:r>
          </w:p>
        </w:tc>
      </w:tr>
      <w:tr>
        <w:tc>
          <w:tcPr>
            <w:tcW w:type="dxa" w:w="4320"/>
          </w:tcPr>
          <w:p>
            <w:r>
              <w:rPr>
                <w:rFonts w:ascii="Arial" w:hAnsi="Arial"/>
                <w:sz w:val="24"/>
              </w:rPr>
              <w:t>1.1: open with a claim, not a biography; one sentence of trajectory; state the thread</w:t>
            </w:r>
          </w:p>
        </w:tc>
        <w:tc>
          <w:tcPr>
            <w:tcW w:type="dxa" w:w="4320"/>
          </w:tcPr>
          <w:p>
            <w:r>
              <w:rPr>
                <w:rFonts w:ascii="Arial" w:hAnsi="Arial"/>
                <w:sz w:val="24"/>
              </w:rPr>
              <w:t>The first sentence is the claim. One sentence covers the Nepal PCL diploma (2023), BP Smriti, the UK care home and the degree. Then the thread and how the three sections connect.</w:t>
            </w:r>
          </w:p>
        </w:tc>
      </w:tr>
      <w:tr>
        <w:tc>
          <w:tcPr>
            <w:tcW w:type="dxa" w:w="4320"/>
          </w:tcPr>
          <w:p>
            <w:r>
              <w:rPr>
                <w:rFonts w:ascii="Arial" w:hAnsi="Arial"/>
                <w:sz w:val="24"/>
              </w:rPr>
              <w:t>1.2: three themes organised by idea, before belief, challenge, after belief, consequence</w:t>
            </w:r>
          </w:p>
        </w:tc>
        <w:tc>
          <w:tcPr>
            <w:tcW w:type="dxa" w:w="4320"/>
          </w:tcPr>
          <w:p>
            <w:r>
              <w:rPr>
                <w:rFonts w:ascii="Arial" w:hAnsi="Arial"/>
                <w:sz w:val="24"/>
              </w:rPr>
              <w:t>Three themes (structural health and access, individual and systemic accountability, teams and systems). Each follows the same pattern and cites the sources the blueprint suggested.</w:t>
            </w:r>
          </w:p>
        </w:tc>
      </w:tr>
      <w:tr>
        <w:tc>
          <w:tcPr>
            <w:tcW w:type="dxa" w:w="4320"/>
          </w:tcPr>
          <w:p>
            <w:r>
              <w:rPr>
                <w:rFonts w:ascii="Arial" w:hAnsi="Arial"/>
                <w:sz w:val="24"/>
              </w:rPr>
              <w:t>1.2: evaluate each model, not just use it</w:t>
            </w:r>
          </w:p>
        </w:tc>
        <w:tc>
          <w:tcPr>
            <w:tcW w:type="dxa" w:w="4320"/>
          </w:tcPr>
          <w:p>
            <w:r>
              <w:rPr>
                <w:rFonts w:ascii="Arial" w:hAnsi="Arial"/>
                <w:sz w:val="24"/>
              </w:rPr>
              <w:t>A: the determinants model fits rural Nepal better than care-home inequality. B: systems thinking must not dissolve individual duty. C: the teamwork evidence is descriptive and hospital-based.</w:t>
            </w:r>
          </w:p>
        </w:tc>
      </w:tr>
      <w:tr>
        <w:tc>
          <w:tcPr>
            <w:tcW w:type="dxa" w:w="4320"/>
          </w:tcPr>
          <w:p>
            <w:r>
              <w:rPr>
                <w:rFonts w:ascii="Arial" w:hAnsi="Arial"/>
                <w:sz w:val="24"/>
              </w:rPr>
              <w:t>1.2: one concrete piece of evidence of change per theme</w:t>
            </w:r>
          </w:p>
        </w:tc>
        <w:tc>
          <w:tcPr>
            <w:tcW w:type="dxa" w:w="4320"/>
          </w:tcPr>
          <w:p>
            <w:r>
              <w:rPr>
                <w:rFonts w:ascii="Arial" w:hAnsi="Arial"/>
                <w:sz w:val="24"/>
              </w:rPr>
              <w:t>Left as three [YOU SUPPLY] slots, because the blueprint forbids inventing facts.</w:t>
            </w:r>
          </w:p>
        </w:tc>
      </w:tr>
      <w:tr>
        <w:tc>
          <w:tcPr>
            <w:tcW w:type="dxa" w:w="4320"/>
          </w:tcPr>
          <w:p>
            <w:r>
              <w:rPr>
                <w:rFonts w:ascii="Arial" w:hAnsi="Arial"/>
                <w:sz w:val="24"/>
              </w:rPr>
              <w:t>1.3: two conflicting values, an incident, legal framing, Nepal against UK, a behavioural standard</w:t>
            </w:r>
          </w:p>
        </w:tc>
        <w:tc>
          <w:tcPr>
            <w:tcW w:type="dxa" w:w="4320"/>
          </w:tcPr>
          <w:p>
            <w:r>
              <w:rPr>
                <w:rFonts w:ascii="Arial" w:hAnsi="Arial"/>
                <w:sz w:val="24"/>
              </w:rPr>
              <w:t>Dignity and choice against safety. The Mental Capacity Act, Care Act and CQC Regulations 10 and 12 give the framework. The Nepal/UK comparison avoids stereotyping, and the section ends with a standard stated as a behaviour. The incident is a [YOU SUPPLY] slot.</w:t>
            </w:r>
          </w:p>
        </w:tc>
      </w:tr>
      <w:tr>
        <w:tc>
          <w:tcPr>
            <w:tcW w:type="dxa" w:w="4320"/>
          </w:tcPr>
          <w:p>
            <w:r>
              <w:rPr>
                <w:rFonts w:ascii="Arial" w:hAnsi="Arial"/>
                <w:sz w:val="24"/>
              </w:rPr>
              <w:t>1.4: evaluate reflective models and EBP, name a competency framework, link to 3.2</w:t>
            </w:r>
          </w:p>
        </w:tc>
        <w:tc>
          <w:tcPr>
            <w:tcW w:type="dxa" w:w="4320"/>
          </w:tcPr>
          <w:p>
            <w:r>
              <w:rPr>
                <w:rFonts w:ascii="Arial" w:hAnsi="Arial"/>
                <w:sz w:val="24"/>
              </w:rPr>
              <w:t>Gibbs, Schön and Rolfe are compared, with Finlay as the critic. Sackett is set against Greenhalgh. The Care Certificate and Healthcare Leadership Model are named, with the limit that attendance is not competence.</w:t>
            </w:r>
          </w:p>
        </w:tc>
      </w:tr>
      <w:tr>
        <w:tc>
          <w:tcPr>
            <w:tcW w:type="dxa" w:w="4320"/>
          </w:tcPr>
          <w:p>
            <w:r>
              <w:rPr>
                <w:rFonts w:ascii="Arial" w:hAnsi="Arial"/>
                <w:sz w:val="24"/>
              </w:rPr>
              <w:t>1.5: one tight bridging paragraph</w:t>
            </w:r>
          </w:p>
        </w:tc>
        <w:tc>
          <w:tcPr>
            <w:tcW w:type="dxa" w:w="4320"/>
          </w:tcPr>
          <w:p>
            <w:r>
              <w:rPr>
                <w:rFonts w:ascii="Arial" w:hAnsi="Arial"/>
                <w:sz w:val="24"/>
              </w:rPr>
              <w:t>A testable claim leading into the case.</w:t>
            </w:r>
          </w:p>
        </w:tc>
      </w:tr>
    </w:tbl>
    <w:p>
      <w:pPr>
        <w:pStyle w:val="Heading3"/>
      </w:pPr>
      <w:r>
        <w:t>Section 2 (Case Analysis)</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instruction</w:t>
            </w:r>
          </w:p>
        </w:tc>
        <w:tc>
          <w:tcPr>
            <w:tcW w:type="dxa" w:w="4320"/>
          </w:tcPr>
          <w:p>
            <w:r>
              <w:rPr>
                <w:rFonts w:ascii="Arial" w:hAnsi="Arial"/>
                <w:b/>
                <w:sz w:val="24"/>
              </w:rPr>
              <w:t>How it was applied</w:t>
            </w:r>
          </w:p>
        </w:tc>
      </w:tr>
      <w:tr>
        <w:tc>
          <w:tcPr>
            <w:tcW w:type="dxa" w:w="4320"/>
          </w:tcPr>
          <w:p>
            <w:r>
              <w:rPr>
                <w:rFonts w:ascii="Arial" w:hAnsi="Arial"/>
                <w:sz w:val="24"/>
              </w:rPr>
              <w:t>2.1 (revised, 14.3): account of about 100 words, why it matters, approach and limits</w:t>
            </w:r>
          </w:p>
        </w:tc>
        <w:tc>
          <w:tcPr>
            <w:tcW w:type="dxa" w:w="4320"/>
          </w:tcPr>
          <w:p>
            <w:r>
              <w:rPr>
                <w:rFonts w:ascii="Arial" w:hAnsi="Arial"/>
                <w:sz w:val="24"/>
              </w:rPr>
              <w:t>Account, policy context (NHSX 2019, DHSC 2025, medical-device regulation) and approach. It states the ethical and legal limits and that sources are graded by what they can show. It also states that this is a reflection on my own learning and that permission was granted.</w:t>
            </w:r>
          </w:p>
        </w:tc>
      </w:tr>
      <w:tr>
        <w:tc>
          <w:tcPr>
            <w:tcW w:type="dxa" w:w="4320"/>
          </w:tcPr>
          <w:p>
            <w:r>
              <w:rPr>
                <w:rFonts w:ascii="Arial" w:hAnsi="Arial"/>
                <w:sz w:val="24"/>
              </w:rPr>
              <w:t>Case description capped at about 15%</w:t>
            </w:r>
          </w:p>
        </w:tc>
        <w:tc>
          <w:tcPr>
            <w:tcW w:type="dxa" w:w="4320"/>
          </w:tcPr>
          <w:p>
            <w:r>
              <w:rPr>
                <w:rFonts w:ascii="Arial" w:hAnsi="Arial"/>
                <w:sz w:val="24"/>
              </w:rPr>
              <w:t>Description is confined to 2.1 and the short "What I did" opening of each issue. The rest argues.</w:t>
            </w:r>
          </w:p>
        </w:tc>
      </w:tr>
      <w:tr>
        <w:tc>
          <w:tcPr>
            <w:tcW w:type="dxa" w:w="4320"/>
          </w:tcPr>
          <w:p>
            <w:r>
              <w:rPr>
                <w:rFonts w:ascii="Arial" w:hAnsi="Arial"/>
                <w:sz w:val="24"/>
              </w:rPr>
              <w:t>14.4: for each issue, what I did, what the law required, where practice met or fell short, what I would do now</w:t>
            </w:r>
          </w:p>
        </w:tc>
        <w:tc>
          <w:tcPr>
            <w:tcW w:type="dxa" w:w="4320"/>
          </w:tcPr>
          <w:p>
            <w:r>
              <w:rPr>
                <w:rFonts w:ascii="Arial" w:hAnsi="Arial"/>
                <w:sz w:val="24"/>
              </w:rPr>
              <w:t>Used as the fixed move in 2.2 to 2.4.</w:t>
            </w:r>
          </w:p>
        </w:tc>
      </w:tr>
      <w:tr>
        <w:tc>
          <w:tcPr>
            <w:tcW w:type="dxa" w:w="4320"/>
          </w:tcPr>
          <w:p>
            <w:r>
              <w:rPr>
                <w:rFonts w:ascii="Arial" w:hAnsi="Arial"/>
                <w:sz w:val="24"/>
              </w:rPr>
              <w:t>16.2 and 18.3: say "appeared inconsistent", never "the AI was wrong"; state the outcome is unknown; no vendor, hospital or clinical detail</w:t>
            </w:r>
          </w:p>
        </w:tc>
        <w:tc>
          <w:tcPr>
            <w:tcW w:type="dxa" w:w="4320"/>
          </w:tcPr>
          <w:p>
            <w:r>
              <w:rPr>
                <w:rFonts w:ascii="Arial" w:hAnsi="Arial"/>
                <w:sz w:val="24"/>
              </w:rPr>
              <w:t>Followed throughout. The tool is generic and the outcome is described as unknown, with no invented ending.</w:t>
            </w:r>
          </w:p>
        </w:tc>
      </w:tr>
      <w:tr>
        <w:tc>
          <w:tcPr>
            <w:tcW w:type="dxa" w:w="4320"/>
          </w:tcPr>
          <w:p>
            <w:r>
              <w:rPr>
                <w:rFonts w:ascii="Arial" w:hAnsi="Arial"/>
                <w:sz w:val="24"/>
              </w:rPr>
              <w:t>18.1 "just a feeling": tacit knowledge</w:t>
            </w:r>
          </w:p>
        </w:tc>
        <w:tc>
          <w:tcPr>
            <w:tcW w:type="dxa" w:w="4320"/>
          </w:tcPr>
          <w:p>
            <w:r>
              <w:rPr>
                <w:rFonts w:ascii="Arial" w:hAnsi="Arial"/>
                <w:sz w:val="24"/>
              </w:rPr>
              <w:t>A dedicated paragraph in 2.2 using Polanyi, Benner and Schön. It argues intuition is a legitimate safety signal but weak evidence, so it should trigger a check, not a conclusion.</w:t>
            </w:r>
          </w:p>
        </w:tc>
      </w:tr>
      <w:tr>
        <w:tc>
          <w:tcPr>
            <w:tcW w:type="dxa" w:w="4320"/>
          </w:tcPr>
          <w:p>
            <w:r>
              <w:rPr>
                <w:rFonts w:ascii="Arial" w:hAnsi="Arial"/>
                <w:sz w:val="24"/>
              </w:rPr>
              <w:t>18.1 "no clear follow-up": failure of the feedback loop</w:t>
            </w:r>
          </w:p>
        </w:tc>
        <w:tc>
          <w:tcPr>
            <w:tcW w:type="dxa" w:w="4320"/>
          </w:tcPr>
          <w:p>
            <w:r>
              <w:rPr>
                <w:rFonts w:ascii="Arial" w:hAnsi="Arial"/>
                <w:sz w:val="24"/>
              </w:rPr>
              <w:t>A dedicated paragraph in 2.3 using Berwick, Reason and Francis. It gives a counter-argument and describes what a closed loop would look like.</w:t>
            </w:r>
          </w:p>
        </w:tc>
      </w:tr>
      <w:tr>
        <w:tc>
          <w:tcPr>
            <w:tcW w:type="dxa" w:w="4320"/>
          </w:tcPr>
          <w:p>
            <w:r>
              <w:rPr>
                <w:rFonts w:ascii="Arial" w:hAnsi="Arial"/>
                <w:sz w:val="24"/>
              </w:rPr>
              <w:t>18.1 "never accept AI output unchecked" is a cliché</w:t>
            </w:r>
          </w:p>
        </w:tc>
        <w:tc>
          <w:tcPr>
            <w:tcW w:type="dxa" w:w="4320"/>
          </w:tcPr>
          <w:p>
            <w:r>
              <w:rPr>
                <w:rFonts w:ascii="Arial" w:hAnsi="Arial"/>
                <w:sz w:val="24"/>
              </w:rPr>
              <w:t>Refined in 2.2 to "notice, question, escalate, and avoid recording uncertain output as fact", with where checking ends for a student against a registered clinician.</w:t>
            </w:r>
          </w:p>
        </w:tc>
      </w:tr>
      <w:tr>
        <w:tc>
          <w:tcPr>
            <w:tcW w:type="dxa" w:w="4320"/>
          </w:tcPr>
          <w:p>
            <w:r>
              <w:rPr>
                <w:rFonts w:ascii="Arial" w:hAnsi="Arial"/>
                <w:sz w:val="24"/>
              </w:rPr>
              <w:t>18.1 "record my concern"</w:t>
            </w:r>
          </w:p>
        </w:tc>
        <w:tc>
          <w:tcPr>
            <w:tcW w:type="dxa" w:w="4320"/>
          </w:tcPr>
          <w:p>
            <w:r>
              <w:rPr>
                <w:rFonts w:ascii="Arial" w:hAnsi="Arial"/>
                <w:sz w:val="24"/>
              </w:rPr>
              <w:t>Developed into the concern note (what I saw, why uncertain, whom I told, when, no identifiers), linked to UK GDPR Art. 5(1)(d) and Regulation 17.</w:t>
            </w:r>
          </w:p>
        </w:tc>
      </w:tr>
      <w:tr>
        <w:tc>
          <w:tcPr>
            <w:tcW w:type="dxa" w:w="4320"/>
          </w:tcPr>
          <w:p>
            <w:r>
              <w:rPr>
                <w:rFonts w:ascii="Arial" w:hAnsi="Arial"/>
                <w:sz w:val="24"/>
              </w:rPr>
              <w:t>16.3 law and policy for a documentation task</w:t>
            </w:r>
          </w:p>
        </w:tc>
        <w:tc>
          <w:tcPr>
            <w:tcW w:type="dxa" w:w="4320"/>
          </w:tcPr>
          <w:p>
            <w:r>
              <w:rPr>
                <w:rFonts w:ascii="Arial" w:hAnsi="Arial"/>
                <w:sz w:val="24"/>
              </w:rPr>
              <w:t>Medical Devices Regulations 2002, MHRA, DCB0129/0160, CQC Regulations 12, 17 and 20, UK GDPR accuracy and transparency, Caldicott, Francis (2015) and the NHS Constitution.</w:t>
            </w:r>
          </w:p>
        </w:tc>
      </w:tr>
      <w:tr>
        <w:tc>
          <w:tcPr>
            <w:tcW w:type="dxa" w:w="4320"/>
          </w:tcPr>
          <w:p>
            <w:r>
              <w:rPr>
                <w:rFonts w:ascii="Arial" w:hAnsi="Arial"/>
                <w:sz w:val="24"/>
              </w:rPr>
              <w:t>14.2 point 6: do not accuse</w:t>
            </w:r>
          </w:p>
        </w:tc>
        <w:tc>
          <w:tcPr>
            <w:tcW w:type="dxa" w:w="4320"/>
          </w:tcPr>
          <w:p>
            <w:r>
              <w:rPr>
                <w:rFonts w:ascii="Arial" w:hAnsi="Arial"/>
                <w:sz w:val="24"/>
              </w:rPr>
              <w:t>Phrased as "I do not know how the tool or the ward met these requirements and do not suggest they were unmet" and "on my reading".</w:t>
            </w:r>
          </w:p>
        </w:tc>
      </w:tr>
      <w:tr>
        <w:tc>
          <w:tcPr>
            <w:tcW w:type="dxa" w:w="4320"/>
          </w:tcPr>
          <w:p>
            <w:r>
              <w:rPr>
                <w:rFonts w:ascii="Arial" w:hAnsi="Arial"/>
                <w:sz w:val="24"/>
              </w:rPr>
              <w:t>14.2 point 8: law against guidance</w:t>
            </w:r>
          </w:p>
        </w:tc>
        <w:tc>
          <w:tcPr>
            <w:tcW w:type="dxa" w:w="4320"/>
          </w:tcPr>
          <w:p>
            <w:r>
              <w:rPr>
                <w:rFonts w:ascii="Arial" w:hAnsi="Arial"/>
                <w:sz w:val="24"/>
              </w:rPr>
              <w:t>Stated in 2.1 and applied in 2.2 and 2.4.</w:t>
            </w:r>
          </w:p>
        </w:tc>
      </w:tr>
      <w:tr>
        <w:tc>
          <w:tcPr>
            <w:tcW w:type="dxa" w:w="4320"/>
          </w:tcPr>
          <w:p>
            <w:r>
              <w:rPr>
                <w:rFonts w:ascii="Arial" w:hAnsi="Arial"/>
                <w:sz w:val="24"/>
              </w:rPr>
              <w:t>2.5: reasoned verdict, three solutions in a compact table, prioritisation, limitations</w:t>
            </w:r>
          </w:p>
        </w:tc>
        <w:tc>
          <w:tcPr>
            <w:tcW w:type="dxa" w:w="4320"/>
          </w:tcPr>
          <w:p>
            <w:r>
              <w:rPr>
                <w:rFonts w:ascii="Arial" w:hAnsi="Arial"/>
                <w:sz w:val="24"/>
              </w:rPr>
              <w:t>Conditional endorsement. The table holds S1 concern-and-closure routine, S2 "AI-suggested, unverified" label, S3 induction, each with evidence, feasibility and limits. Prose ranks them, and the limitations paragraph is included.</w:t>
            </w:r>
          </w:p>
        </w:tc>
      </w:tr>
      <w:tr>
        <w:tc>
          <w:tcPr>
            <w:tcW w:type="dxa" w:w="4320"/>
          </w:tcPr>
          <w:p>
            <w:r>
              <w:rPr>
                <w:rFonts w:ascii="Arial" w:hAnsi="Arial"/>
                <w:sz w:val="24"/>
              </w:rPr>
              <w:t>2.6: Gibbs, believed before, evidence, named situations, link to Section 3</w:t>
            </w:r>
          </w:p>
        </w:tc>
        <w:tc>
          <w:tcPr>
            <w:tcW w:type="dxa" w:w="4320"/>
          </w:tcPr>
          <w:p>
            <w:r>
              <w:rPr>
                <w:rFonts w:ascii="Arial" w:hAnsi="Arial"/>
                <w:sz w:val="24"/>
              </w:rPr>
              <w:t>Four observable behaviours tied to named situations and standards, ending with a bridge to Section 3.</w:t>
            </w:r>
          </w:p>
        </w:tc>
      </w:tr>
    </w:tbl>
    <w:p>
      <w:pPr>
        <w:pStyle w:val="Heading3"/>
      </w:pPr>
      <w:r>
        <w:t>Section 3 (Career Development Plan)</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instruction</w:t>
            </w:r>
          </w:p>
        </w:tc>
        <w:tc>
          <w:tcPr>
            <w:tcW w:type="dxa" w:w="4320"/>
          </w:tcPr>
          <w:p>
            <w:r>
              <w:rPr>
                <w:rFonts w:ascii="Arial" w:hAnsi="Arial"/>
                <w:b/>
                <w:sz w:val="24"/>
              </w:rPr>
              <w:t>How it was applied</w:t>
            </w:r>
          </w:p>
        </w:tc>
      </w:tr>
      <w:tr>
        <w:tc>
          <w:tcPr>
            <w:tcW w:type="dxa" w:w="4320"/>
          </w:tcPr>
          <w:p>
            <w:r>
              <w:rPr>
                <w:rFonts w:ascii="Arial" w:hAnsi="Arial"/>
                <w:sz w:val="24"/>
              </w:rPr>
              <w:t>3.1: one-sentence destination with a time frame, four options against explicit criteria, others deferred not dismissed</w:t>
            </w:r>
          </w:p>
        </w:tc>
        <w:tc>
          <w:tcPr>
            <w:tcW w:type="dxa" w:w="4320"/>
          </w:tcPr>
          <w:p>
            <w:r>
              <w:rPr>
                <w:rFonts w:ascii="Arial" w:hAnsi="Arial"/>
                <w:sz w:val="24"/>
              </w:rPr>
              <w:t>Done. Option iv (nursing registration) is explicitly marked "do not assume eligibility". The choice is tied to being where S1 and S3 can be applied.</w:t>
            </w:r>
          </w:p>
        </w:tc>
      </w:tr>
      <w:tr>
        <w:tc>
          <w:tcPr>
            <w:tcW w:type="dxa" w:w="4320"/>
          </w:tcPr>
          <w:p>
            <w:r>
              <w:rPr>
                <w:rFonts w:ascii="Arial" w:hAnsi="Arial"/>
                <w:sz w:val="24"/>
              </w:rPr>
              <w:t>Reading topic 2: critique "branding"</w:t>
            </w:r>
          </w:p>
        </w:tc>
        <w:tc>
          <w:tcPr>
            <w:tcW w:type="dxa" w:w="4320"/>
          </w:tcPr>
          <w:p>
            <w:r>
              <w:rPr>
                <w:rFonts w:ascii="Arial" w:hAnsi="Arial"/>
                <w:sz w:val="24"/>
              </w:rPr>
              <w:t>Included in 3.1.</w:t>
            </w:r>
          </w:p>
        </w:tc>
      </w:tr>
      <w:tr>
        <w:tc>
          <w:tcPr>
            <w:tcW w:type="dxa" w:w="4320"/>
          </w:tcPr>
          <w:p>
            <w:r>
              <w:rPr>
                <w:rFonts w:ascii="Arial" w:hAnsi="Arial"/>
                <w:sz w:val="24"/>
              </w:rPr>
              <w:t>3.2: framework, 4 to 5 strengths with evidence, 4 to 5 gaps with consequence and severity, limits of self-assessment</w:t>
            </w:r>
          </w:p>
        </w:tc>
        <w:tc>
          <w:tcPr>
            <w:tcW w:type="dxa" w:w="4320"/>
          </w:tcPr>
          <w:p>
            <w:r>
              <w:rPr>
                <w:rFonts w:ascii="Arial" w:hAnsi="Arial"/>
                <w:sz w:val="24"/>
              </w:rPr>
              <w:t>Table of 3 strengths and 5 gaps. The blueprint's better gaps are used (safeguarding, QI, supervision, evaluating AI, difficult conversations), not "academic writing". Davis et al. (2006) is cited with mitigations.</w:t>
            </w:r>
          </w:p>
        </w:tc>
      </w:tr>
      <w:tr>
        <w:tc>
          <w:tcPr>
            <w:tcW w:type="dxa" w:w="4320"/>
          </w:tcPr>
          <w:p>
            <w:r>
              <w:rPr>
                <w:rFonts w:ascii="Arial" w:hAnsi="Arial"/>
                <w:sz w:val="24"/>
              </w:rPr>
              <w:t>3.3: SMART table with timeframe, goal, evidence and link to gap</w:t>
            </w:r>
          </w:p>
        </w:tc>
        <w:tc>
          <w:tcPr>
            <w:tcW w:type="dxa" w:w="4320"/>
          </w:tcPr>
          <w:p>
            <w:r>
              <w:rPr>
                <w:rFonts w:ascii="Arial" w:hAnsi="Arial"/>
                <w:sz w:val="24"/>
              </w:rPr>
              <w:t>Four rows. The QI goal is the real S1 trial.</w:t>
            </w:r>
          </w:p>
        </w:tc>
      </w:tr>
      <w:tr>
        <w:tc>
          <w:tcPr>
            <w:tcW w:type="dxa" w:w="4320"/>
          </w:tcPr>
          <w:p>
            <w:r>
              <w:rPr>
                <w:rFonts w:ascii="Arial" w:hAnsi="Arial"/>
                <w:sz w:val="24"/>
              </w:rPr>
              <w:t>3.4: risks, immigration in 2 to 3 sentences, monitoring, staged Nepal aim, honest evidence quality</w:t>
            </w:r>
          </w:p>
        </w:tc>
        <w:tc>
          <w:tcPr>
            <w:tcW w:type="dxa" w:w="4320"/>
          </w:tcPr>
          <w:p>
            <w:r>
              <w:rPr>
                <w:rFonts w:ascii="Arial" w:hAnsi="Arial"/>
                <w:sz w:val="24"/>
              </w:rPr>
              <w:t>Done. Visa content is kept to the minimum the blueprint asks for.</w:t>
            </w:r>
          </w:p>
        </w:tc>
      </w:tr>
      <w:tr>
        <w:tc>
          <w:tcPr>
            <w:tcW w:type="dxa" w:w="4320"/>
          </w:tcPr>
          <w:p>
            <w:r>
              <w:rPr>
                <w:rFonts w:ascii="Arial" w:hAnsi="Arial"/>
                <w:sz w:val="24"/>
              </w:rPr>
              <w:t>3.5: one closing sentence</w:t>
            </w:r>
          </w:p>
        </w:tc>
        <w:tc>
          <w:tcPr>
            <w:tcW w:type="dxa" w:w="4320"/>
          </w:tcPr>
          <w:p>
            <w:r>
              <w:rPr>
                <w:rFonts w:ascii="Arial" w:hAnsi="Arial"/>
                <w:sz w:val="24"/>
              </w:rPr>
              <w:t>Done.</w:t>
            </w:r>
          </w:p>
        </w:tc>
      </w:tr>
    </w:tbl>
    <w:p>
      <w:pPr>
        <w:pStyle w:val="Heading2"/>
      </w:pPr>
      <w:r>
        <w:t>3. Improvements made beyond the blueprint</w:t>
      </w:r>
    </w:p>
    <w:p>
      <w:r>
        <w:rPr>
          <w:rFonts w:ascii="Arial" w:hAnsi="Arial"/>
          <w:sz w:val="24"/>
        </w:rPr>
        <w:t>The blueprint contains conflicts and weak points. I resolved them as follows.</w:t>
      </w:r>
    </w:p>
    <w:p>
      <w:pPr>
        <w:pStyle w:val="ListNumber"/>
      </w:pPr>
      <w:r>
        <w:rPr>
          <w:rFonts w:ascii="Arial" w:hAnsi="Arial"/>
          <w:b/>
          <w:sz w:val="24"/>
        </w:rPr>
        <w:t>Stale content removed.</w:t>
      </w:r>
      <w:r>
        <w:rPr>
          <w:rFonts w:ascii="Arial" w:hAnsi="Arial"/>
          <w:sz w:val="24"/>
        </w:rPr>
        <w:t xml:space="preserve"> The golden thread, 1.1 and the 3.1 "S1 to S3" link still referred to Mrs Okafor and care planning. They were rewritten for the hospital imaging case and its new S1 to S3. The thread's grammar ("builds that conditions") was also fixed.</w:t>
      </w:r>
    </w:p>
    <w:p>
      <w:pPr>
        <w:pStyle w:val="ListNumber"/>
      </w:pPr>
      <w:r>
        <w:rPr>
          <w:rFonts w:ascii="Arial" w:hAnsi="Arial"/>
          <w:b/>
          <w:sz w:val="24"/>
        </w:rPr>
        <w:t>Pseudonym dropped.</w:t>
      </w:r>
      <w:r>
        <w:rPr>
          <w:rFonts w:ascii="Arial" w:hAnsi="Arial"/>
          <w:sz w:val="24"/>
        </w:rPr>
        <w:t xml:space="preserve"> The final case no longer needs "Mrs Okafor", and no patient name or pseudonym appears anywhere. The less patient-detail there is, the lower the identifiability risk.</w:t>
      </w:r>
    </w:p>
    <w:p>
      <w:pPr>
        <w:pStyle w:val="ListNumber"/>
      </w:pPr>
      <w:r>
        <w:rPr>
          <w:rFonts w:ascii="Arial" w:hAnsi="Arial"/>
          <w:b/>
          <w:sz w:val="24"/>
        </w:rPr>
        <w:t>Reflective model critique strengthened.</w:t>
      </w:r>
      <w:r>
        <w:rPr>
          <w:rFonts w:ascii="Arial" w:hAnsi="Arial"/>
          <w:sz w:val="24"/>
        </w:rPr>
        <w:t xml:space="preserve"> The blueprint's 1.4 defends Gibbs, but 18.1 relies on Schön and tacit knowledge. I said so explicitly: Gibbs is the spine, and Schön covers the "just a feeling" moment that Gibbs handles poorly.</w:t>
      </w:r>
    </w:p>
    <w:p>
      <w:pPr>
        <w:pStyle w:val="ListNumber"/>
      </w:pPr>
      <w:r>
        <w:rPr>
          <w:rFonts w:ascii="Arial" w:hAnsi="Arial"/>
          <w:b/>
          <w:sz w:val="24"/>
        </w:rPr>
        <w:t>Steel-man added to Issue 1.</w:t>
      </w:r>
      <w:r>
        <w:rPr>
          <w:rFonts w:ascii="Arial" w:hAnsi="Arial"/>
          <w:sz w:val="24"/>
        </w:rPr>
        <w:t xml:space="preserve"> The blueprint's old plan had a "case for the technology" block (Topol, 2019), but the revised 16.4 and 18.2 plans dropped it. I restored it, because the reader-reaction table asks for a counter-argument in each issue.</w:t>
      </w:r>
    </w:p>
    <w:p>
      <w:pPr>
        <w:pStyle w:val="ListNumber"/>
      </w:pPr>
      <w:r>
        <w:rPr>
          <w:rFonts w:ascii="Arial" w:hAnsi="Arial"/>
          <w:b/>
          <w:sz w:val="24"/>
        </w:rPr>
        <w:t>Limitations rewritten.</w:t>
      </w:r>
      <w:r>
        <w:rPr>
          <w:rFonts w:ascii="Arial" w:hAnsi="Arial"/>
          <w:sz w:val="24"/>
        </w:rPr>
        <w:t xml:space="preserve"> The blueprint's limitation, "single simulated/taught case", no longer applies. It now reads: one real episode, from memory, outcome unknown, no empirical data.</w:t>
      </w:r>
    </w:p>
    <w:p>
      <w:pPr>
        <w:pStyle w:val="ListNumber"/>
      </w:pPr>
      <w:r>
        <w:rPr>
          <w:rFonts w:ascii="Arial" w:hAnsi="Arial"/>
          <w:b/>
          <w:sz w:val="24"/>
        </w:rPr>
        <w:t>Article 22 handled carefully.</w:t>
      </w:r>
      <w:r>
        <w:rPr>
          <w:rFonts w:ascii="Arial" w:hAnsi="Arial"/>
          <w:sz w:val="24"/>
        </w:rPr>
        <w:t xml:space="preserve"> The blueprint says to check Art. 22 after the Data (Use and Access) Act 2025. I argued Art. 22 is unlikely to be engaged because a clinician reviews the output, and flagged that the current text must be checked.</w:t>
      </w:r>
    </w:p>
    <w:p>
      <w:pPr>
        <w:pStyle w:val="ListNumber"/>
      </w:pPr>
      <w:r>
        <w:rPr>
          <w:rFonts w:ascii="Arial" w:hAnsi="Arial"/>
          <w:b/>
          <w:sz w:val="24"/>
        </w:rPr>
        <w:t>Original idea tied to the revised case.</w:t>
      </w:r>
      <w:r>
        <w:rPr>
          <w:rFonts w:ascii="Arial" w:hAnsi="Arial"/>
          <w:sz w:val="24"/>
        </w:rPr>
        <w:t xml:space="preserve"> S1 (concern-and-closure routine) is presented as the original, testable proposal, with a plan-do-study-act design and a measure. This also satisfies reading topic 6 (QI) in 2.5 and 3.3.</w:t>
      </w:r>
    </w:p>
    <w:p>
      <w:pPr>
        <w:pStyle w:val="ListNumber"/>
      </w:pPr>
      <w:r>
        <w:rPr>
          <w:rFonts w:ascii="Arial" w:hAnsi="Arial"/>
          <w:b/>
          <w:sz w:val="24"/>
        </w:rPr>
        <w:t>Weakness of the proposal admitted.</w:t>
      </w:r>
      <w:r>
        <w:rPr>
          <w:rFonts w:ascii="Arial" w:hAnsi="Arial"/>
          <w:sz w:val="24"/>
        </w:rPr>
        <w:t xml:space="preserve"> S1 can be completed without being used, and counting notes rewards volume. The pilot therefore also asks whether a concern changed what happened next.</w:t>
      </w:r>
    </w:p>
    <w:p>
      <w:pPr>
        <w:pStyle w:val="ListNumber"/>
      </w:pPr>
      <w:r>
        <w:rPr>
          <w:rFonts w:ascii="Arial" w:hAnsi="Arial"/>
          <w:b/>
          <w:sz w:val="24"/>
        </w:rPr>
        <w:t>Leadership paragraph added to 2.3.</w:t>
      </w:r>
      <w:r>
        <w:rPr>
          <w:rFonts w:ascii="Arial" w:hAnsi="Arial"/>
          <w:sz w:val="24"/>
        </w:rPr>
        <w:t xml:space="preserve"> It covers who sets the norm for questioning the tool (West, 2021; Healthcare Leadership Model). The blueprint's old 2.4c had this, but the revised plan lost it.</w:t>
      </w:r>
    </w:p>
    <w:p>
      <w:pPr>
        <w:pStyle w:val="ListNumber"/>
      </w:pPr>
      <w:r>
        <w:rPr>
          <w:rFonts w:ascii="Arial" w:hAnsi="Arial"/>
          <w:b/>
          <w:sz w:val="24"/>
        </w:rPr>
        <w:t>Self-assessment critique made specific in 3.2.</w:t>
      </w:r>
      <w:r>
        <w:rPr>
          <w:rFonts w:ascii="Arial" w:hAnsi="Arial"/>
          <w:sz w:val="24"/>
        </w:rPr>
        <w:t xml:space="preserve"> It notes that the Care Certificate and Healthcare Leadership Model do not cover appraising AI tools, so that gap is measured against a self-set standard.</w:t>
      </w:r>
    </w:p>
    <w:p>
      <w:pPr>
        <w:pStyle w:val="ListNumber"/>
      </w:pPr>
      <w:r>
        <w:rPr>
          <w:rFonts w:ascii="Arial" w:hAnsi="Arial"/>
          <w:b/>
          <w:sz w:val="24"/>
        </w:rPr>
        <w:t>Placeholder policy.</w:t>
      </w:r>
      <w:r>
        <w:rPr>
          <w:rFonts w:ascii="Arial" w:hAnsi="Arial"/>
          <w:sz w:val="24"/>
        </w:rPr>
        <w:t xml:space="preserve"> Wherever the blueprint says "[YOU SUPPLY]", I left a short, sized slot instead of inventing a fact. I made no claim about what you felt, said to your supervisor, or wrote down.</w:t>
      </w:r>
    </w:p>
    <w:p>
      <w:pPr>
        <w:pStyle w:val="ListNumber"/>
      </w:pPr>
      <w:r>
        <w:rPr>
          <w:rFonts w:ascii="Arial" w:hAnsi="Arial"/>
          <w:b/>
          <w:sz w:val="24"/>
        </w:rPr>
        <w:t>Typo caught and fixed</w:t>
      </w:r>
      <w:r>
        <w:rPr>
          <w:rFonts w:ascii="Arial" w:hAnsi="Arial"/>
          <w:sz w:val="24"/>
        </w:rPr>
        <w:t xml:space="preserve"> in my own draft: "Nuclear Medicine and Midwifery Council" is now "Nursing and Midwifery Council (NMC)".</w:t>
      </w:r>
    </w:p>
    <w:p>
      <w:pPr>
        <w:pStyle w:val="ListNumber"/>
      </w:pPr>
      <w:r>
        <w:rPr>
          <w:rFonts w:ascii="Arial" w:hAnsi="Arial"/>
          <w:b/>
          <w:sz w:val="24"/>
        </w:rPr>
        <w:t>In-text citations and references.</w:t>
      </w:r>
      <w:r>
        <w:rPr>
          <w:rFonts w:ascii="Arial" w:hAnsi="Arial"/>
          <w:sz w:val="24"/>
        </w:rPr>
        <w:t xml:space="preserve"> Every in-text citation has a matching Harvard entry, and every entry is cited. I checked this with a script. Statutes are cited by section or regulation.</w:t>
      </w:r>
    </w:p>
    <w:p>
      <w:pPr>
        <w:pStyle w:val="ListNumber"/>
      </w:pPr>
      <w:r>
        <w:rPr>
          <w:rFonts w:ascii="Arial" w:hAnsi="Arial"/>
          <w:b/>
          <w:sz w:val="24"/>
        </w:rPr>
        <w:t>Unsupported statements audited and referenced.</w:t>
      </w:r>
      <w:r>
        <w:rPr>
          <w:rFonts w:ascii="Arial" w:hAnsi="Arial"/>
          <w:sz w:val="24"/>
        </w:rPr>
        <w:t xml:space="preserve"> I went through every sentence and added a source wherever a factual claim had none:</w:t>
      </w:r>
    </w:p>
    <w:p>
      <w:pPr>
        <w:pStyle w:val="ListBullet"/>
      </w:pPr>
      <w:r>
        <w:rPr>
          <w:rFonts w:ascii="Arial" w:hAnsi="Arial"/>
          <w:sz w:val="24"/>
        </w:rPr>
        <w:t>Defensive practice under fear of blame (Berwick, 2013); the limits of Schön's model in writing (Finlay, 2008); hospital-based teamwork evidence (Reeves et al., 2017).</w:t>
      </w:r>
    </w:p>
    <w:p>
      <w:pPr>
        <w:pStyle w:val="ListBullet"/>
      </w:pPr>
      <w:r>
        <w:rPr>
          <w:rFonts w:ascii="Arial" w:hAnsi="Arial"/>
          <w:sz w:val="24"/>
        </w:rPr>
        <w:t>No AI-specific statute, and the clinical safety standards (MHRA, 2023; NHS England, 2018); power gradients and unheeded concerns (Francis, 2015).</w:t>
      </w:r>
    </w:p>
    <w:p>
      <w:pPr>
        <w:pStyle w:val="ListBullet"/>
      </w:pPr>
      <w:r>
        <w:rPr>
          <w:rFonts w:ascii="Arial" w:hAnsi="Arial"/>
          <w:sz w:val="24"/>
        </w:rPr>
        <w:t>The quality of SBAR evidence (Müller et al., 2018, new); plan-do-study-act (Langley et al., 2009, new); the anchoring explanation in 2.6 (Tversky and Kahneman, 1974; Parasuraman and Manzey, 2010).</w:t>
      </w:r>
    </w:p>
    <w:p>
      <w:pPr>
        <w:pStyle w:val="ListBullet"/>
      </w:pPr>
      <w:r>
        <w:rPr>
          <w:rFonts w:ascii="Arial" w:hAnsi="Arial"/>
          <w:sz w:val="24"/>
        </w:rPr>
        <w:t>UK GDPR articles named in text; NMC and Home Office pages for the career plan (new, both "no date" web sources to verify).</w:t>
      </w:r>
    </w:p>
    <w:p>
      <w:pPr>
        <w:pStyle w:val="ListBullet"/>
      </w:pPr>
      <w:r>
        <w:rPr>
          <w:rFonts w:ascii="Arial" w:hAnsi="Arial"/>
          <w:sz w:val="24"/>
        </w:rPr>
        <w:t>Some statements are my own reasoning or experience (for example, "nothing I know of requires..."). I deliberately left those uncited, worded as my own view, because inventing a source for them would be worse than none. A few were softened ("in the sources I read") where I could not support a general claim.</w:t>
      </w:r>
    </w:p>
    <w:p>
      <w:pPr>
        <w:pStyle w:val="Heading2"/>
      </w:pPr>
      <w:r>
        <w:t>4. What you need to do before submitting</w:t>
      </w:r>
    </w:p>
    <w:p>
      <w:r>
        <w:rPr>
          <w:rFonts w:ascii="Arial" w:hAnsi="Arial"/>
          <w:b/>
          <w:sz w:val="24"/>
        </w:rPr>
        <w:t>A. Fill the [YOU SUPPLY] slots (about 15):</w:t>
      </w:r>
      <w:r>
        <w:rPr>
          <w:rFonts w:ascii="Arial" w:hAnsi="Arial"/>
          <w:sz w:val="24"/>
        </w:rPr>
        <w:t xml:space="preserve"> three evidence-of-change examples (1.2), the care-home incident (1.3), what you did with the entry (2.2), what you said to your supervisor and when (2.3), what made you feel able to speak (2.3), whether you wrote anything down (2.3), your feelings and your prior assumption (2.6), strengths and gaps evidence (3.2), your graduation date (3.3), and the title-block role and date.</w:t>
      </w:r>
    </w:p>
    <w:p>
      <w:r>
        <w:rPr>
          <w:rFonts w:ascii="Arial" w:hAnsi="Arial"/>
          <w:b/>
          <w:sz w:val="24"/>
        </w:rPr>
        <w:t>B. Verify every source.</w:t>
      </w:r>
      <w:r>
        <w:rPr>
          <w:rFonts w:ascii="Arial" w:hAnsi="Arial"/>
          <w:sz w:val="24"/>
        </w:rPr>
        <w:t xml:space="preserve"> I wrote these from memory, and the blueprint says to treat all sources as candidates. Verify the details of every entry. Check these most closely (the new entries Müller et al. 2018, Langley et al. 2009, NMC and Home Office included):</w:t>
      </w:r>
    </w:p>
    <w:p>
      <w:pPr>
        <w:pStyle w:val="ListBullet"/>
      </w:pPr>
      <w:r>
        <w:rPr>
          <w:rFonts w:ascii="Arial" w:hAnsi="Arial"/>
          <w:sz w:val="24"/>
        </w:rPr>
        <w:t>Dratsch et al. (2023) and the "less experienced readers" claim.</w:t>
      </w:r>
    </w:p>
    <w:p>
      <w:pPr>
        <w:pStyle w:val="ListBullet"/>
      </w:pPr>
      <w:r>
        <w:rPr>
          <w:rFonts w:ascii="Arial" w:hAnsi="Arial"/>
          <w:sz w:val="24"/>
        </w:rPr>
        <w:t>Seyyed-Kalantari et al. (2021).</w:t>
      </w:r>
    </w:p>
    <w:p>
      <w:pPr>
        <w:pStyle w:val="ListBullet"/>
      </w:pPr>
      <w:r>
        <w:rPr>
          <w:rFonts w:ascii="Arial" w:hAnsi="Arial"/>
          <w:sz w:val="24"/>
        </w:rPr>
        <w:t>MHRA (2023), NHS England (2018, 2023), ICO (no date), and Skills for Care (2025): titles, years and URLs.</w:t>
      </w:r>
    </w:p>
    <w:p>
      <w:pPr>
        <w:pStyle w:val="ListBullet"/>
      </w:pPr>
      <w:r>
        <w:rPr>
          <w:rFonts w:ascii="Arial" w:hAnsi="Arial"/>
          <w:sz w:val="24"/>
        </w:rPr>
        <w:t xml:space="preserve">DHSC (2025) </w:t>
      </w:r>
      <w:r>
        <w:rPr>
          <w:rFonts w:ascii="Arial" w:hAnsi="Arial"/>
          <w:i/>
          <w:sz w:val="24"/>
        </w:rPr>
        <w:t>10 Year Health Plan</w:t>
      </w:r>
      <w:r>
        <w:rPr>
          <w:rFonts w:ascii="Arial" w:hAnsi="Arial"/>
          <w:sz w:val="24"/>
        </w:rPr>
        <w:t xml:space="preserve"> and the NHS Constitution edition.</w:t>
      </w:r>
    </w:p>
    <w:p>
      <w:pPr>
        <w:pStyle w:val="ListBullet"/>
      </w:pPr>
      <w:r>
        <w:rPr>
          <w:rFonts w:ascii="Arial" w:hAnsi="Arial"/>
          <w:sz w:val="24"/>
        </w:rPr>
        <w:t>Ministry of Health and Population (2023).</w:t>
      </w:r>
    </w:p>
    <w:p>
      <w:pPr>
        <w:pStyle w:val="ListBullet"/>
      </w:pPr>
      <w:r>
        <w:rPr>
          <w:rFonts w:ascii="Arial" w:hAnsi="Arial"/>
          <w:sz w:val="24"/>
        </w:rPr>
        <w:t>The Data (Use and Access) Act 2025 reform of Art. 22, and its legislation.gov.uk reference.</w:t>
      </w:r>
    </w:p>
    <w:p>
      <w:pPr>
        <w:pStyle w:val="ListBullet"/>
      </w:pPr>
      <w:r>
        <w:rPr>
          <w:rFonts w:ascii="Arial" w:hAnsi="Arial"/>
          <w:sz w:val="24"/>
        </w:rPr>
        <w:t>HCPC (2016) and NMC (2018) as comparator standards.</w:t>
      </w:r>
    </w:p>
    <w:p>
      <w:pPr>
        <w:pStyle w:val="ListBullet"/>
      </w:pPr>
      <w:r>
        <w:rPr>
          <w:rFonts w:ascii="Arial" w:hAnsi="Arial"/>
          <w:sz w:val="24"/>
        </w:rPr>
        <w:t>Add access dates where [date] appears.</w:t>
      </w:r>
    </w:p>
    <w:p>
      <w:r>
        <w:rPr>
          <w:rFonts w:ascii="Arial" w:hAnsi="Arial"/>
          <w:b/>
          <w:sz w:val="24"/>
        </w:rPr>
        <w:t>C. Confirm assumptions.</w:t>
      </w:r>
    </w:p>
    <w:p>
      <w:pPr>
        <w:pStyle w:val="ListBullet"/>
      </w:pPr>
      <w:r>
        <w:rPr>
          <w:rFonts w:ascii="Arial" w:hAnsi="Arial"/>
          <w:b/>
          <w:sz w:val="24"/>
        </w:rPr>
        <w:t>Jurisdiction.</w:t>
      </w:r>
      <w:r>
        <w:rPr>
          <w:rFonts w:ascii="Arial" w:hAnsi="Arial"/>
          <w:sz w:val="24"/>
        </w:rPr>
        <w:t xml:space="preserve"> I assumed England. Confirm that is where the placement was; if not, the law and regulator names change.</w:t>
      </w:r>
    </w:p>
    <w:p>
      <w:pPr>
        <w:pStyle w:val="ListBullet"/>
      </w:pPr>
      <w:r>
        <w:rPr>
          <w:rFonts w:ascii="Arial" w:hAnsi="Arial"/>
          <w:b/>
          <w:sz w:val="24"/>
        </w:rPr>
        <w:t>Goal.</w:t>
      </w:r>
      <w:r>
        <w:rPr>
          <w:rFonts w:ascii="Arial" w:hAnsi="Arial"/>
          <w:sz w:val="24"/>
        </w:rPr>
        <w:t xml:space="preserve"> Confirm that senior care assistant or team leader is truly your 12-month goal.</w:t>
      </w:r>
    </w:p>
    <w:p>
      <w:pPr>
        <w:pStyle w:val="ListBullet"/>
      </w:pPr>
      <w:r>
        <w:rPr>
          <w:rFonts w:ascii="Arial" w:hAnsi="Arial"/>
          <w:b/>
          <w:sz w:val="24"/>
        </w:rPr>
        <w:t>Nepal source.</w:t>
      </w:r>
      <w:r>
        <w:rPr>
          <w:rFonts w:ascii="Arial" w:hAnsi="Arial"/>
          <w:sz w:val="24"/>
        </w:rPr>
        <w:t xml:space="preserve"> I cited one government strategy; the blueprint asks you to find a suitable one.</w:t>
      </w:r>
    </w:p>
    <w:p>
      <w:pPr>
        <w:pStyle w:val="ListBullet"/>
      </w:pPr>
      <w:r>
        <w:rPr>
          <w:rFonts w:ascii="Arial" w:hAnsi="Arial"/>
          <w:b/>
          <w:sz w:val="24"/>
        </w:rPr>
        <w:t>Reference count.</w:t>
      </w:r>
      <w:r>
        <w:rPr>
          <w:rFonts w:ascii="Arial" w:hAnsi="Arial"/>
          <w:sz w:val="24"/>
        </w:rPr>
        <w:t xml:space="preserve"> There are about 55 entries including statutes and web pages, which is above the blueprint's 35 to 45. About 10 are statutes or web guidance. Cut any you cannot defend, and check the word count after any cut.</w:t>
      </w:r>
    </w:p>
    <w:p>
      <w:pPr>
        <w:pStyle w:val="ListBullet"/>
      </w:pPr>
      <w:r>
        <w:rPr>
          <w:rFonts w:ascii="Arial" w:hAnsi="Arial"/>
          <w:b/>
          <w:sz w:val="24"/>
        </w:rPr>
        <w:t>Course reading lists.</w:t>
      </w:r>
      <w:r>
        <w:rPr>
          <w:rFonts w:ascii="Arial" w:hAnsi="Arial"/>
          <w:sz w:val="24"/>
        </w:rPr>
        <w:t xml:space="preserve"> The blueprint says citing recommended readings signals alignment (reading topics, Appendix B Q2). I could not do this, because the lists were not provided.</w:t>
      </w:r>
    </w:p>
    <w:p>
      <w:r>
        <w:rPr>
          <w:rFonts w:ascii="Arial" w:hAnsi="Arial"/>
          <w:b/>
          <w:sz w:val="24"/>
        </w:rPr>
        <w:t>D. Remaining blueprint steps.</w:t>
      </w:r>
      <w:r>
        <w:rPr>
          <w:rFonts w:ascii="Arial" w:hAnsi="Arial"/>
          <w:sz w:val="24"/>
        </w:rPr>
        <w:t xml:space="preserve"> Run a similarity check early, read the draft aloud, confirm the word-count rule (tables and citations), and keep the written permission emails saved.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4/23" TargetMode="External"/><Relationship Id="rId10" Type="http://schemas.openxmlformats.org/officeDocument/2006/relationships/hyperlink" Target="https://www.legislation.gov.uk/ukpga/2018/12" TargetMode="External"/><Relationship Id="rId11" Type="http://schemas.openxmlformats.org/officeDocument/2006/relationships/hyperlink" Target="https://www.legislation.gov.uk/ukpga/2025/18" TargetMode="External"/><Relationship Id="rId12" Type="http://schemas.openxmlformats.org/officeDocument/2006/relationships/hyperlink" Target="https://www.legislation.gov.uk/uksi/2014/2936" TargetMode="External"/><Relationship Id="rId13" Type="http://schemas.openxmlformats.org/officeDocument/2006/relationships/hyperlink" Target="https://www.gov.uk/graduate-visa" TargetMode="External"/><Relationship Id="rId14" Type="http://schemas.openxmlformats.org/officeDocument/2006/relationships/hyperlink" Target="https://ico.org.uk" TargetMode="External"/><Relationship Id="rId15" Type="http://schemas.openxmlformats.org/officeDocument/2006/relationships/hyperlink" Target="https://www.legislation.gov.uk/uksi/2002/618" TargetMode="External"/><Relationship Id="rId16" Type="http://schemas.openxmlformats.org/officeDocument/2006/relationships/hyperlink" Target="https://www.gov.uk" TargetMode="External"/><Relationship Id="rId17" Type="http://schemas.openxmlformats.org/officeDocument/2006/relationships/hyperlink" Target="https://www.legislation.gov.uk/ukpga/2005/9" TargetMode="External"/><Relationship Id="rId18" Type="http://schemas.openxmlformats.org/officeDocument/2006/relationships/hyperlink" Target="https://www.nmc.org.uk" TargetMode="External"/><Relationship Id="rId19" Type="http://schemas.openxmlformats.org/officeDocument/2006/relationships/hyperlink" Target="https://www.skillsforcare.org.uk" TargetMode="External"/><Relationship Id="rId20" Type="http://schemas.openxmlformats.org/officeDocument/2006/relationships/hyperlink" Target="https://www.legislation.gov.uk/eur/2016/6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