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40"/>
          <w:szCs w:val="40"/>
        </w:rPr>
        <w:t xml:space="preserve">Blueprint: Starbucks in Nigeria – The Enclave Strategy</w:t>
      </w:r>
    </w:p>
    <w:p>
      <w:pPr>
        <w:spacing w:after="100"/>
        <w:rPr>
          <w:i/>
          <w:iCs/>
          <w:color w:val="555555"/>
        </w:rPr>
      </w:pPr>
      <w:r>
        <w:rPr>
          <w:rFonts w:ascii="Calibri" w:cs="Calibri" w:eastAsia="Calibri" w:hAnsi="Calibri"/>
          <w:i/>
          <w:iCs/>
          <w:color w:val="555555"/>
          <w:sz w:val="21"/>
          <w:szCs w:val="21"/>
        </w:rPr>
        <w:t xml:space="preserve">International Business in the Global Economy – Formative Assessment (BSc Applied Management, BPP)</w:t>
      </w:r>
    </w:p>
    <w:p>
      <w:pPr>
        <w:spacing w:after="100"/>
        <w:rPr>
          <w:b/>
          <w:bCs/>
        </w:rPr>
      </w:pPr>
      <w:r>
        <w:rPr>
          <w:rFonts w:ascii="Calibri" w:cs="Calibri" w:eastAsia="Calibri" w:hAnsi="Calibri"/>
          <w:b/>
          <w:bCs/>
          <w:sz w:val="21"/>
          <w:szCs w:val="21"/>
        </w:rPr>
        <w:t xml:space="preserve">1,000-word strategic report | AC1 + AC2 | Target 85+ | Blueprint only – no report text drafted</w:t>
      </w:r>
    </w:p>
    <w:p>
      <w:pPr>
        <w:spacing w:after="80"/>
      </w:pPr>
    </w:p>
    <w:p>
      <w:pPr>
        <w:pStyle w:val="Heading1"/>
        <w:spacing w:after="120" w:before="300"/>
      </w:pPr>
      <w:r>
        <w:rPr>
          <w:rFonts w:ascii="Calibri" w:cs="Calibri" w:eastAsia="Calibri" w:hAnsi="Calibri"/>
          <w:b/>
          <w:bCs/>
          <w:color w:val="1F3864"/>
          <w:sz w:val="30"/>
          <w:szCs w:val="30"/>
        </w:rPr>
        <w:t xml:space="preserve">1. The position in one paragraph</w:t>
      </w:r>
    </w:p>
    <w:p>
      <w:pPr>
        <w:spacing w:after="100"/>
      </w:pPr>
      <w:r>
        <w:rPr>
          <w:rFonts w:ascii="Calibri" w:cs="Calibri" w:eastAsia="Calibri" w:hAnsi="Calibri"/>
          <w:sz w:val="21"/>
          <w:szCs w:val="21"/>
        </w:rPr>
        <w:t xml:space="preserve">Nigeria’s market is large, but its institutions, power supply and currency make network-wide replication of a premium café brand unreliable. Starbucks should therefore enter through an enclave strategy: a master licence with a hospitality or property group, opening first in controlled sites (airport, business hotel, premium mall or office complex in Lagos and Abuja) where power, security and clientele can be managed. National scale is deferred until the enclave model proves itself. The argument is that the useful unit of analysis is the site, not the country.</w:t>
      </w:r>
    </w:p>
    <w:p>
      <w:pPr>
        <w:spacing w:after="100"/>
      </w:pPr>
      <w:r>
        <w:rPr>
          <w:rFonts w:ascii="Calibri" w:cs="Calibri" w:eastAsia="Calibri" w:hAnsi="Calibri"/>
          <w:b/>
          <w:bCs/>
          <w:sz w:val="21"/>
          <w:szCs w:val="21"/>
        </w:rPr>
        <w:t xml:space="preserve">Distinctive angle: </w:t>
      </w:r>
      <w:r>
        <w:rPr>
          <w:rFonts w:ascii="Calibri" w:cs="Calibri" w:eastAsia="Calibri" w:hAnsi="Calibri"/>
          <w:sz w:val="21"/>
          <w:szCs w:val="21"/>
        </w:rPr>
        <w:t xml:space="preserve">most Nigeria reports argue country-level risk versus reward. This one argues that risk is spatially uneven, so location advantage (L in OLI) is a property of the site.</w:t>
      </w:r>
    </w:p>
    <w:p>
      <w:pPr>
        <w:pStyle w:val="Heading1"/>
        <w:spacing w:after="120" w:before="300"/>
      </w:pPr>
      <w:r>
        <w:rPr>
          <w:rFonts w:ascii="Calibri" w:cs="Calibri" w:eastAsia="Calibri" w:hAnsi="Calibri"/>
          <w:b/>
          <w:bCs/>
          <w:color w:val="1F3864"/>
          <w:sz w:val="30"/>
          <w:szCs w:val="30"/>
        </w:rPr>
        <w:t xml:space="preserve">2. The examiner’s interrogation (questions your report must pre-empt)</w:t>
      </w:r>
    </w:p>
    <w:p>
      <w:pPr>
        <w:spacing w:after="100"/>
      </w:pPr>
      <w:r>
        <w:rPr>
          <w:rFonts w:ascii="Calibri" w:cs="Calibri" w:eastAsia="Calibri" w:hAnsi="Calibri"/>
          <w:sz w:val="21"/>
          <w:szCs w:val="21"/>
        </w:rPr>
        <w:t xml:space="preserve">A harsh marker reads for these questions. If the report answers each one in the text, it earns the “detailed, integrated, critically evaluated” descriptors.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000"/>
        <w:gridCol w:w="2838"/>
      </w:tblGrid>
      <w:tr>
        <w:trPr>
          <w:tblHeader/>
        </w:trPr>
        <w:tc>
          <w:tcPr>
            <w:tcW w:type="dxa" w:w="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t>
            </w:r>
          </w:p>
        </w:tc>
        <w:tc>
          <w:tcPr>
            <w:tcW w:type="dxa" w:w="3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The marker asks</w:t>
            </w:r>
          </w:p>
        </w:tc>
        <w:tc>
          <w:tcPr>
            <w:tcW w:type="dxa" w:w="30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Where answered</w:t>
            </w:r>
          </w:p>
        </w:tc>
        <w:tc>
          <w:tcPr>
            <w:tcW w:type="dxa" w:w="28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Evidence needed</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Nigeria, and why not a safer market?</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Intro; AC1 B</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Population, median age, urban share; a stated trade-off</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What does Starbucks actually have that locals lack?</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A (VRIO)</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Resource-by-resource test; rival or local chain evidence</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Is that advantage still valuable here?</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A</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Price versus income; local café chains (Café Neo)</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Can Starbucks capture the value (the “O” in VRIO)?</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A and C</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Licensee capacity; generator and FX costs</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enclaves rather than the whole country?</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B</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Site-level location advantage; electricity and security evidence</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6</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a master licence, not owned stores?</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Internalisation trade-off; franchise precedents in Nigeria</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7</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How do institutions change the answer?</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 AC2 layer 2</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Scott’s pillars; FX reform; NIPC and CBN rules</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8</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What does culture change inside the store?</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layer 1</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and GLOBE: leadership, communication, service</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9</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What could break the model?</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layers 2–3</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FX, diesel, inflation, election-cycle politics</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10</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Does the enclave strategy weaken legitimacy or learning?</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layer 3; conclusion</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Elitist image risk; limited reach</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11</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What does Starbucks learn for other markets?</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learning</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 transferable “enclave-first” playbook</w:t>
            </w:r>
          </w:p>
        </w:tc>
      </w:tr>
      <w:tr>
        <w:trPr>
          <w:cantSplit/>
        </w:trP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12</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What would change your mind?</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Conclusion</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Named triggers (FX stability, grid reliability)</w:t>
            </w:r>
          </w:p>
        </w:tc>
      </w:tr>
    </w:tbl>
    <w:p>
      <w:pPr>
        <w:pStyle w:val="Heading1"/>
        <w:spacing w:after="120" w:before="300"/>
      </w:pPr>
      <w:r>
        <w:rPr>
          <w:rFonts w:ascii="Calibri" w:cs="Calibri" w:eastAsia="Calibri" w:hAnsi="Calibri"/>
          <w:b/>
          <w:bCs/>
          <w:color w:val="1F3864"/>
          <w:sz w:val="30"/>
          <w:szCs w:val="30"/>
        </w:rPr>
        <w:t xml:space="preserve">3. Country choice and verification</w:t>
      </w:r>
    </w:p>
    <w:p>
      <w:pPr>
        <w:pStyle w:val="ListParagraph"/>
        <w:numPr>
          <w:ilvl w:val="0"/>
          <w:numId w:val="2"/>
        </w:numPr>
        <w:spacing w:after="60"/>
      </w:pPr>
      <w:r>
        <w:rPr>
          <w:rFonts w:ascii="Calibri" w:cs="Calibri" w:eastAsia="Calibri" w:hAnsi="Calibri"/>
          <w:sz w:val="21"/>
          <w:szCs w:val="21"/>
        </w:rPr>
        <w:t xml:space="preserve">Starbucks presence: I found no evidence of Starbucks stores in Nigeria; sources are old (2014–2015). Confirm on the store locator and the 10-K, and record the check in Appendix A.</w:t>
      </w:r>
    </w:p>
    <w:p>
      <w:pPr>
        <w:pStyle w:val="ListParagraph"/>
        <w:numPr>
          <w:ilvl w:val="0"/>
          <w:numId w:val="2"/>
        </w:numPr>
        <w:spacing w:after="60"/>
      </w:pPr>
      <w:r>
        <w:rPr>
          <w:rFonts w:ascii="Calibri" w:cs="Calibri" w:eastAsia="Calibri" w:hAnsi="Calibri"/>
          <w:sz w:val="21"/>
          <w:szCs w:val="21"/>
        </w:rPr>
        <w:t xml:space="preserve">Regional precedent: Starbucks entered South Africa in 2016 through Taste Holdings, a licensee that later paused expansion (verify details). It is the natural Starbucks-specific comparator for the licence model.</w:t>
      </w:r>
    </w:p>
    <w:p>
      <w:pPr>
        <w:pStyle w:val="ListParagraph"/>
        <w:numPr>
          <w:ilvl w:val="0"/>
          <w:numId w:val="2"/>
        </w:numPr>
        <w:spacing w:after="60"/>
      </w:pPr>
      <w:r>
        <w:rPr>
          <w:rFonts w:ascii="Calibri" w:cs="Calibri" w:eastAsia="Calibri" w:hAnsi="Calibri"/>
          <w:sz w:val="21"/>
          <w:szCs w:val="21"/>
        </w:rPr>
        <w:t xml:space="preserve">Local precedent for franchising in Nigeria: Domino’s through franchisee Eat’N’Go (103 stores reported, undated); Carrefour entering through franchisee Hypercity (reported 2026; scale conflicts between sources). Use as evidence that licensed international brands can operate in Nigeria, after verifying.</w:t>
      </w:r>
    </w:p>
    <w:p>
      <w:pPr>
        <w:pStyle w:val="ListParagraph"/>
        <w:numPr>
          <w:ilvl w:val="0"/>
          <w:numId w:val="2"/>
        </w:numPr>
        <w:spacing w:after="60"/>
      </w:pPr>
      <w:r>
        <w:rPr>
          <w:rFonts w:ascii="Calibri" w:cs="Calibri" w:eastAsia="Calibri" w:hAnsi="Calibri"/>
          <w:sz w:val="21"/>
          <w:szCs w:val="21"/>
        </w:rPr>
        <w:t xml:space="preserve">Local competition: Café Neo (Lagos) and a nascent café scene; mass-market coffee is mostly instant and tea and cocoa are popular (older sources).</w:t>
      </w:r>
    </w:p>
    <w:p>
      <w:pPr>
        <w:pStyle w:val="Heading1"/>
        <w:spacing w:after="120" w:before="300"/>
      </w:pPr>
      <w:r>
        <w:rPr>
          <w:rFonts w:ascii="Calibri" w:cs="Calibri" w:eastAsia="Calibri" w:hAnsi="Calibri"/>
          <w:b/>
          <w:bCs/>
          <w:color w:val="1F3864"/>
          <w:sz w:val="30"/>
          <w:szCs w:val="30"/>
        </w:rPr>
        <w:t xml:space="preserve">4. Argument in three layers (the structure that organises AC2)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38"/>
      </w:tblGrid>
      <w:tr>
        <w:trPr>
          <w:tblHeader/>
        </w:trPr>
        <w:tc>
          <w:tcPr>
            <w:tcW w:type="dxa" w:w="1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Layer</w:t>
            </w:r>
          </w:p>
        </w:tc>
        <w:tc>
          <w:tcPr>
            <w:tcW w:type="dxa" w:w="36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Question</w:t>
            </w:r>
          </w:p>
        </w:tc>
        <w:tc>
          <w:tcPr>
            <w:tcW w:type="dxa" w:w="42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What belongs here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Inside the store</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Can the people and the service model work?</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Culture, leadership, communication, consumer behaviour (Hofstede 2001 and GLOBE)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Around the store</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Can the store physically and financially function?</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Power and diesel, FX and repatriation, franchise and foreign-investment law, NAFDAC and FCCPC compliance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Beyond the store</w:t>
            </w:r>
          </w:p>
        </w:tc>
        <w:tc>
          <w:tcPr>
            <w:tcW w:type="dxa" w:w="3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Will the environment stay open?</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Politics and election cycles, inflation, policy rate, growth, corruption (CPI)</w:t>
            </w:r>
          </w:p>
        </w:tc>
      </w:tr>
    </w:tbl>
    <w:p>
      <w:pPr>
        <w:spacing w:after="100"/>
        <w:rPr>
          <w:i/>
          <w:iCs/>
        </w:rPr>
      </w:pPr>
      <w:r>
        <w:rPr>
          <w:rFonts w:ascii="Calibri" w:cs="Calibri" w:eastAsia="Calibri" w:hAnsi="Calibri"/>
          <w:i/>
          <w:iCs/>
          <w:sz w:val="21"/>
          <w:szCs w:val="21"/>
        </w:rPr>
        <w:t xml:space="preserve">AC1 then uses the same layers in reverse: advantage (inside), site (around), partner (beyond).</w:t>
      </w:r>
    </w:p>
    <w:p>
      <w:pPr>
        <w:pStyle w:val="Heading1"/>
        <w:spacing w:after="120" w:before="300"/>
      </w:pPr>
      <w:r>
        <w:rPr>
          <w:rFonts w:ascii="Calibri" w:cs="Calibri" w:eastAsia="Calibri" w:hAnsi="Calibri"/>
          <w:b/>
          <w:bCs/>
          <w:color w:val="1F3864"/>
          <w:sz w:val="30"/>
          <w:szCs w:val="30"/>
        </w:rPr>
        <w:t xml:space="preserve">5. Theory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538"/>
      </w:tblGrid>
      <w:tr>
        <w:trPr>
          <w:tblHeader/>
        </w:trPr>
        <w:tc>
          <w:tcPr>
            <w:tcW w:type="dxa" w:w="2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Theory</w:t>
            </w:r>
          </w:p>
        </w:tc>
        <w:tc>
          <w:tcPr>
            <w:tcW w:type="dxa" w:w="34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Job in the report</w:t>
            </w:r>
          </w:p>
        </w:tc>
        <w:tc>
          <w:tcPr>
            <w:tcW w:type="dxa" w:w="35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Limit to state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VRIO (Barney, 1995) – the ONE internal framework</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Test three Starbucks resources on value, rarity, imitability and organisation. The “O” question is the hinge: does a local organisation exist to capture the value?</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Static; says little about context; imitability is hard to evidence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Eclectic Paradigm (Dunning, 2001)</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 = resources from the VRIO test; L = site-level advantages (power, security, clientele); I = master licence versus company ownership</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Treats the country as the unit; says little about timing and institutions</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Institutional Theory: Scott (2014) pillars; DiMaggio and Powell (1983) isomorphism; Meyer and Rowan (1977) decoupling; Kostova and Zaheer (1999) legitimacy</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Why the enclave insulates against regulative and infrastructural weakness (decoupling), and why it risks a legitimacy gap with local society</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Institutional reforms are fast moving; legitimacy is difficult to measure</w:t>
            </w:r>
          </w:p>
        </w:tc>
      </w:tr>
      <w:tr>
        <w:trPr>
          <w:cantSplit/>
        </w:trPr>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(2001) with GLOBE (House et al., 2004)</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Six dimensions for inside-the-store management; GLOBE’s practices-versus-values gap as the critique</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scores for Nigeria unverified; both are national averages</w:t>
            </w:r>
          </w:p>
        </w:tc>
      </w:tr>
    </w:tbl>
    <w:p>
      <w:pPr>
        <w:spacing w:after="100"/>
        <w:rPr>
          <w:i/>
          <w:iCs/>
        </w:rPr>
      </w:pPr>
      <w:r>
        <w:rPr>
          <w:rFonts w:ascii="Calibri" w:cs="Calibri" w:eastAsia="Calibri" w:hAnsi="Calibri"/>
          <w:i/>
          <w:iCs/>
          <w:sz w:val="21"/>
          <w:szCs w:val="21"/>
        </w:rPr>
        <w:t xml:space="preserve">Do not add the Uppsala model or Porter’s Diamond. One internal framework only.</w:t>
      </w:r>
    </w:p>
    <w:p>
      <w:pPr>
        <w:pStyle w:val="Heading1"/>
        <w:spacing w:after="120" w:before="300"/>
      </w:pPr>
      <w:r>
        <w:rPr>
          <w:rFonts w:ascii="Calibri" w:cs="Calibri" w:eastAsia="Calibri" w:hAnsi="Calibri"/>
          <w:b/>
          <w:bCs/>
          <w:color w:val="1F3864"/>
          <w:sz w:val="30"/>
          <w:szCs w:val="30"/>
        </w:rPr>
        <w:t xml:space="preserve">6. Word plan (960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4238"/>
      </w:tblGrid>
      <w:tr>
        <w:trPr>
          <w:tblHeader/>
        </w:trPr>
        <w:tc>
          <w:tcPr>
            <w:tcW w:type="dxa" w:w="4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Section</w:t>
            </w:r>
          </w:p>
        </w:tc>
        <w:tc>
          <w:tcPr>
            <w:tcW w:type="dxa" w:w="1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Words</w:t>
            </w:r>
          </w:p>
        </w:tc>
        <w:tc>
          <w:tcPr>
            <w:tcW w:type="dxa" w:w="42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Sub-allocation</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Introduction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Counter-intuitive opening, recommendation, roadmap</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AC1: Competitive Advantage</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370</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 150 + B 130 + C 90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AC2: Complexities and Diversities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490</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Inside 190 + Around 170 + Beyond 80 + Learning 50</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Conclusion</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50</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Answer, and what would change the recommendation</w:t>
            </w:r>
          </w:p>
        </w:tc>
      </w:tr>
      <w:tr>
        <w:trPr>
          <w:cantSplit/>
        </w:trPr>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Total</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960</w:t>
            </w:r>
          </w:p>
        </w:tc>
        <w:tc>
          <w:tcPr>
            <w:tcW w:type="dxa" w:w="42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40-word margin; confirm what counts under your guidelines</w:t>
            </w:r>
          </w:p>
        </w:tc>
      </w:tr>
    </w:tbl>
    <w:p>
      <w:pPr>
        <w:spacing w:after="80"/>
      </w:pPr>
    </w:p>
    <w:p>
      <w:pPr>
        <w:pStyle w:val="Heading2"/>
        <w:spacing w:after="100" w:before="200"/>
      </w:pPr>
      <w:r>
        <w:rPr>
          <w:rFonts w:ascii="Calibri" w:cs="Calibri" w:eastAsia="Calibri" w:hAnsi="Calibri"/>
          <w:b/>
          <w:bCs/>
          <w:color w:val="2E5597"/>
          <w:sz w:val="24"/>
          <w:szCs w:val="24"/>
        </w:rPr>
        <w:t xml:space="preserve">Introduction (50 words)</w:t>
      </w:r>
    </w:p>
    <w:p>
      <w:pPr>
        <w:pStyle w:val="ListParagraph"/>
        <w:numPr>
          <w:ilvl w:val="0"/>
          <w:numId w:val="2"/>
        </w:numPr>
        <w:spacing w:after="60"/>
      </w:pPr>
      <w:r>
        <w:rPr>
          <w:rFonts w:ascii="Calibri" w:cs="Calibri" w:eastAsia="Calibri" w:hAnsi="Calibri"/>
          <w:sz w:val="21"/>
          <w:szCs w:val="21"/>
        </w:rPr>
        <w:t xml:space="preserve">Open with the claim that the case for Nigeria is about the building, not the country (about 20 words).</w:t>
      </w:r>
    </w:p>
    <w:p>
      <w:pPr>
        <w:pStyle w:val="ListParagraph"/>
        <w:numPr>
          <w:ilvl w:val="0"/>
          <w:numId w:val="2"/>
        </w:numPr>
        <w:spacing w:after="60"/>
      </w:pPr>
      <w:r>
        <w:rPr>
          <w:rFonts w:ascii="Calibri" w:cs="Calibri" w:eastAsia="Calibri" w:hAnsi="Calibri"/>
          <w:sz w:val="21"/>
          <w:szCs w:val="21"/>
        </w:rPr>
        <w:t xml:space="preserve">State the enclave recommendation and master-licence mode (about 20).</w:t>
      </w:r>
    </w:p>
    <w:p>
      <w:pPr>
        <w:pStyle w:val="ListParagraph"/>
        <w:numPr>
          <w:ilvl w:val="0"/>
          <w:numId w:val="2"/>
        </w:numPr>
        <w:spacing w:after="60"/>
      </w:pPr>
      <w:r>
        <w:rPr>
          <w:rFonts w:ascii="Calibri" w:cs="Calibri" w:eastAsia="Calibri" w:hAnsi="Calibri"/>
          <w:sz w:val="21"/>
          <w:szCs w:val="21"/>
        </w:rPr>
        <w:t xml:space="preserve">Roadmap in one clause (about 10).</w:t>
      </w:r>
    </w:p>
    <w:p>
      <w:pPr>
        <w:pStyle w:val="Heading2"/>
        <w:spacing w:after="100" w:before="200"/>
      </w:pPr>
      <w:r>
        <w:rPr>
          <w:rFonts w:ascii="Calibri" w:cs="Calibri" w:eastAsia="Calibri" w:hAnsi="Calibri"/>
          <w:b/>
          <w:bCs/>
          <w:color w:val="2E5597"/>
          <w:sz w:val="24"/>
          <w:szCs w:val="24"/>
        </w:rPr>
        <w:t xml:space="preserve">AC1: Competitive Advantage (370 words)</w:t>
      </w:r>
    </w:p>
    <w:p>
      <w:pPr>
        <w:pStyle w:val="Heading3"/>
        <w:spacing w:after="80" w:before="140"/>
      </w:pPr>
      <w:r>
        <w:rPr>
          <w:rFonts w:ascii="Calibri" w:cs="Calibri" w:eastAsia="Calibri" w:hAnsi="Calibri"/>
          <w:b/>
          <w:bCs/>
          <w:sz w:val="22"/>
          <w:szCs w:val="22"/>
        </w:rPr>
        <w:t xml:space="preserve">A. Advantage audit: VRIO with the “O” as the hinge (150 words)</w:t>
      </w:r>
    </w:p>
    <w:p>
      <w:pPr>
        <w:pStyle w:val="ListParagraph"/>
        <w:numPr>
          <w:ilvl w:val="0"/>
          <w:numId w:val="2"/>
        </w:numPr>
        <w:spacing w:after="60"/>
      </w:pPr>
      <w:r>
        <w:rPr>
          <w:rFonts w:ascii="Calibri" w:cs="Calibri" w:eastAsia="Calibri" w:hAnsi="Calibri"/>
          <w:sz w:val="21"/>
          <w:szCs w:val="21"/>
        </w:rPr>
        <w:t xml:space="preserve">Test three resources: brand and café experience; ethical sourcing system (C.A.F.E. Practices, verify in the Global Impact Report); store operations and training.</w:t>
      </w:r>
    </w:p>
    <w:p>
      <w:pPr>
        <w:pStyle w:val="ListParagraph"/>
        <w:numPr>
          <w:ilvl w:val="0"/>
          <w:numId w:val="2"/>
        </w:numPr>
        <w:spacing w:after="60"/>
      </w:pPr>
      <w:r>
        <w:rPr>
          <w:rFonts w:ascii="Calibri" w:cs="Calibri" w:eastAsia="Calibri" w:hAnsi="Calibri"/>
          <w:sz w:val="21"/>
          <w:szCs w:val="21"/>
        </w:rPr>
        <w:t xml:space="preserve">Verdicts in one compact sentence each. Strongest: sourcing system (valuable, rare, hard to imitate). Weakest on imitation: the café format, which local chains such as Café Neo can copy.</w:t>
      </w:r>
    </w:p>
    <w:p>
      <w:pPr>
        <w:pStyle w:val="ListParagraph"/>
        <w:numPr>
          <w:ilvl w:val="0"/>
          <w:numId w:val="2"/>
        </w:numPr>
        <w:spacing w:after="60"/>
      </w:pPr>
      <w:r>
        <w:rPr>
          <w:rFonts w:ascii="Calibri" w:cs="Calibri" w:eastAsia="Calibri" w:hAnsi="Calibri"/>
          <w:sz w:val="21"/>
          <w:szCs w:val="21"/>
        </w:rPr>
        <w:t xml:space="preserve">Critical point: value only converts into advantage if the local organisation can capture it. Nigeria’s cost environment (backup power can take up to 40% of some firms’ spending, per a 2024 study reported by Ecofin; verify) makes “O” the decisive weakness.</w:t>
      </w:r>
    </w:p>
    <w:p>
      <w:pPr>
        <w:pStyle w:val="ListParagraph"/>
        <w:numPr>
          <w:ilvl w:val="0"/>
          <w:numId w:val="2"/>
        </w:numPr>
        <w:spacing w:after="60"/>
      </w:pPr>
      <w:r>
        <w:rPr>
          <w:rFonts w:ascii="Calibri" w:cs="Calibri" w:eastAsia="Calibri" w:hAnsi="Calibri"/>
          <w:sz w:val="21"/>
          <w:szCs w:val="21"/>
        </w:rPr>
        <w:t xml:space="preserve">Link: if the organisation is the constraint, the site must be chosen to protect it.</w:t>
      </w:r>
    </w:p>
    <w:p>
      <w:pPr>
        <w:pStyle w:val="Heading3"/>
        <w:spacing w:after="80" w:before="140"/>
      </w:pPr>
      <w:r>
        <w:rPr>
          <w:rFonts w:ascii="Calibri" w:cs="Calibri" w:eastAsia="Calibri" w:hAnsi="Calibri"/>
          <w:b/>
          <w:bCs/>
          <w:sz w:val="22"/>
          <w:szCs w:val="22"/>
        </w:rPr>
        <w:t xml:space="preserve">B. Why Nigeria, and why enclaves: OLI at site level (130 words)</w:t>
      </w:r>
    </w:p>
    <w:p>
      <w:pPr>
        <w:pStyle w:val="ListParagraph"/>
        <w:numPr>
          <w:ilvl w:val="0"/>
          <w:numId w:val="2"/>
        </w:numPr>
        <w:spacing w:after="60"/>
      </w:pPr>
      <w:r>
        <w:rPr>
          <w:rFonts w:ascii="Calibri" w:cs="Calibri" w:eastAsia="Calibri" w:hAnsi="Calibri"/>
          <w:sz w:val="21"/>
          <w:szCs w:val="21"/>
        </w:rPr>
        <w:t xml:space="preserve">Country-level L: about 237.5m people, median age 18.1, 54.9% urban (UN-based estimates, verify).</w:t>
      </w:r>
    </w:p>
    <w:p>
      <w:pPr>
        <w:pStyle w:val="ListParagraph"/>
        <w:numPr>
          <w:ilvl w:val="0"/>
          <w:numId w:val="2"/>
        </w:numPr>
        <w:spacing w:after="60"/>
      </w:pPr>
      <w:r>
        <w:rPr>
          <w:rFonts w:ascii="Calibri" w:cs="Calibri" w:eastAsia="Calibri" w:hAnsi="Calibri"/>
          <w:sz w:val="21"/>
          <w:szCs w:val="21"/>
        </w:rPr>
        <w:t xml:space="preserve">Site-level L: reliable power, security and an affluent clientele are available in hotels, airports and premium malls, not across the country. Lagos has few major malls (a WARC report; dated, verify), so enclave sites are scarce and valuable.</w:t>
      </w:r>
    </w:p>
    <w:p>
      <w:pPr>
        <w:pStyle w:val="ListParagraph"/>
        <w:numPr>
          <w:ilvl w:val="0"/>
          <w:numId w:val="2"/>
        </w:numPr>
        <w:spacing w:after="60"/>
      </w:pPr>
      <w:r>
        <w:rPr>
          <w:rFonts w:ascii="Calibri" w:cs="Calibri" w:eastAsia="Calibri" w:hAnsi="Calibri"/>
          <w:sz w:val="21"/>
          <w:szCs w:val="21"/>
        </w:rPr>
        <w:t xml:space="preserve">Critical point: OLI treats countries as units; Nigeria shows location advantage varies sharply within a country (Dunning, 2001).</w:t>
      </w:r>
    </w:p>
    <w:p>
      <w:pPr>
        <w:pStyle w:val="Heading3"/>
        <w:spacing w:after="80" w:before="140"/>
      </w:pPr>
      <w:r>
        <w:rPr>
          <w:rFonts w:ascii="Calibri" w:cs="Calibri" w:eastAsia="Calibri" w:hAnsi="Calibri"/>
          <w:b/>
          <w:bCs/>
          <w:sz w:val="22"/>
          <w:szCs w:val="22"/>
        </w:rPr>
        <w:t xml:space="preserve">C. Why a master licence: internalisation and legitimacy (90 words)</w:t>
      </w:r>
    </w:p>
    <w:p>
      <w:pPr>
        <w:pStyle w:val="ListParagraph"/>
        <w:numPr>
          <w:ilvl w:val="0"/>
          <w:numId w:val="2"/>
        </w:numPr>
        <w:spacing w:after="60"/>
      </w:pPr>
      <w:r>
        <w:rPr>
          <w:rFonts w:ascii="Calibri" w:cs="Calibri" w:eastAsia="Calibri" w:hAnsi="Calibri"/>
          <w:sz w:val="21"/>
          <w:szCs w:val="21"/>
        </w:rPr>
        <w:t xml:space="preserve">I-advantage: owning stores gives control but exposes Starbucks to FX, power and regulatory risk; a master licence with a hospitality or property group passes operating risk to a partner that controls the site.</w:t>
      </w:r>
    </w:p>
    <w:p>
      <w:pPr>
        <w:pStyle w:val="ListParagraph"/>
        <w:numPr>
          <w:ilvl w:val="0"/>
          <w:numId w:val="2"/>
        </w:numPr>
        <w:spacing w:after="60"/>
      </w:pPr>
      <w:r>
        <w:rPr>
          <w:rFonts w:ascii="Calibri" w:cs="Calibri" w:eastAsia="Calibri" w:hAnsi="Calibri"/>
          <w:sz w:val="21"/>
          <w:szCs w:val="21"/>
        </w:rPr>
        <w:t xml:space="preserve">Evidence that licensed international brands operate in Nigeria (Domino’s via Eat’N’Go; Carrefour via Hypercity; verify).</w:t>
      </w:r>
    </w:p>
    <w:p>
      <w:pPr>
        <w:pStyle w:val="ListParagraph"/>
        <w:numPr>
          <w:ilvl w:val="0"/>
          <w:numId w:val="2"/>
        </w:numPr>
        <w:spacing w:after="60"/>
      </w:pPr>
      <w:r>
        <w:rPr>
          <w:rFonts w:ascii="Calibri" w:cs="Calibri" w:eastAsia="Calibri" w:hAnsi="Calibri"/>
          <w:sz w:val="21"/>
          <w:szCs w:val="21"/>
        </w:rPr>
        <w:t xml:space="preserve">Institutional link: a local partner supplies legitimacy (Kostova and Zaheer, 1999). Critical point: the partner is also the quality-control risk; South Africa’s licensee pause is the warning.</w:t>
      </w:r>
    </w:p>
    <w:p>
      <w:pPr>
        <w:pStyle w:val="Heading2"/>
        <w:spacing w:after="100" w:before="200"/>
      </w:pPr>
      <w:r>
        <w:rPr>
          <w:rFonts w:ascii="Calibri" w:cs="Calibri" w:eastAsia="Calibri" w:hAnsi="Calibri"/>
          <w:b/>
          <w:bCs/>
          <w:color w:val="2E5597"/>
          <w:sz w:val="24"/>
          <w:szCs w:val="24"/>
        </w:rPr>
        <w:t xml:space="preserve">AC2: Complexities and Diversities (490 words), three layers</w:t>
      </w:r>
    </w:p>
    <w:p>
      <w:pPr>
        <w:pStyle w:val="Heading3"/>
        <w:spacing w:after="80" w:before="140"/>
      </w:pPr>
      <w:r>
        <w:rPr>
          <w:rFonts w:ascii="Calibri" w:cs="Calibri" w:eastAsia="Calibri" w:hAnsi="Calibri"/>
          <w:b/>
          <w:bCs/>
          <w:sz w:val="22"/>
          <w:szCs w:val="22"/>
        </w:rPr>
        <w:t xml:space="preserve">Layer 1. Inside the store: culture and management (190 words)</w:t>
      </w:r>
    </w:p>
    <w:p>
      <w:pPr>
        <w:pStyle w:val="ListParagraph"/>
        <w:numPr>
          <w:ilvl w:val="0"/>
          <w:numId w:val="2"/>
        </w:numPr>
        <w:spacing w:after="60"/>
      </w:pPr>
      <w:r>
        <w:rPr>
          <w:rFonts w:ascii="Calibri" w:cs="Calibri" w:eastAsia="Calibri" w:hAnsi="Calibri"/>
          <w:sz w:val="21"/>
          <w:szCs w:val="21"/>
        </w:rPr>
        <w:t xml:space="preserve">Hofstede dimensions as reported (verify at Hofstede Insights): power distance 80; individualism 30; masculinity 60; uncertainty avoidance 55; long-term orientation 13; indulgence 84.</w:t>
      </w:r>
    </w:p>
    <w:p>
      <w:pPr>
        <w:pStyle w:val="ListParagraph"/>
        <w:numPr>
          <w:ilvl w:val="0"/>
          <w:numId w:val="2"/>
        </w:numPr>
        <w:spacing w:after="60"/>
      </w:pPr>
      <w:r>
        <w:rPr>
          <w:rFonts w:ascii="Calibri" w:cs="Calibri" w:eastAsia="Calibri" w:hAnsi="Calibri"/>
          <w:sz w:val="21"/>
          <w:szCs w:val="21"/>
        </w:rPr>
        <w:t xml:space="preserve">Group dimensions by management practice, not by number: leadership and authority (power distance); teamwork and service style (individualism); status and display (masculinity); rules and routines (uncertainty avoidance); investment horizon and pricing (long-term orientation); social spending and leisure (indulgence).</w:t>
      </w:r>
    </w:p>
    <w:p>
      <w:pPr>
        <w:pStyle w:val="ListParagraph"/>
        <w:numPr>
          <w:ilvl w:val="0"/>
          <w:numId w:val="2"/>
        </w:numPr>
        <w:spacing w:after="60"/>
      </w:pPr>
      <w:r>
        <w:rPr>
          <w:rFonts w:ascii="Calibri" w:cs="Calibri" w:eastAsia="Calibri" w:hAnsi="Calibri"/>
          <w:sz w:val="21"/>
          <w:szCs w:val="21"/>
        </w:rPr>
        <w:t xml:space="preserve">Specific changes to management: clear manager authority; team-based incentives; visible status cues in premium sites; short-horizon promotions; evening and social occasions.</w:t>
      </w:r>
    </w:p>
    <w:p>
      <w:pPr>
        <w:pStyle w:val="ListParagraph"/>
        <w:numPr>
          <w:ilvl w:val="0"/>
          <w:numId w:val="2"/>
        </w:numPr>
        <w:spacing w:after="60"/>
      </w:pPr>
      <w:r>
        <w:rPr>
          <w:rFonts w:ascii="Calibri" w:cs="Calibri" w:eastAsia="Calibri" w:hAnsi="Calibri"/>
          <w:sz w:val="21"/>
          <w:szCs w:val="21"/>
        </w:rPr>
        <w:t xml:space="preserve">Critical point (GLOBE, House et al., 2004): reported practices and stated values can diverge; Nigeria’s 250+ ethnic groups and regional variation mean averages hide differences. State that Hofstede scores are secondary-sourced.</w:t>
      </w:r>
    </w:p>
    <w:p>
      <w:pPr>
        <w:pStyle w:val="Heading3"/>
        <w:spacing w:after="80" w:before="140"/>
      </w:pPr>
      <w:r>
        <w:rPr>
          <w:rFonts w:ascii="Calibri" w:cs="Calibri" w:eastAsia="Calibri" w:hAnsi="Calibri"/>
          <w:b/>
          <w:bCs/>
          <w:sz w:val="22"/>
          <w:szCs w:val="22"/>
        </w:rPr>
        <w:t xml:space="preserve">Layer 2. Around the store: power, FX and law (170 words)</w:t>
      </w:r>
    </w:p>
    <w:p>
      <w:pPr>
        <w:pStyle w:val="ListParagraph"/>
        <w:numPr>
          <w:ilvl w:val="0"/>
          <w:numId w:val="2"/>
        </w:numPr>
        <w:spacing w:after="60"/>
      </w:pPr>
      <w:r>
        <w:rPr>
          <w:rFonts w:ascii="Calibri" w:cs="Calibri" w:eastAsia="Calibri" w:hAnsi="Calibri"/>
          <w:sz w:val="21"/>
          <w:szCs w:val="21"/>
        </w:rPr>
        <w:t xml:space="preserve">Power: diesel about ₦1,715 per litre (5 October 2026, one price table; Lagos stations reported around ₦1,690–1,710); backup power up to 40% of some firms’ spending; Lagos MSMEs about ₦5.3tn a year on generators (Ecofin; verify). Consequence: enclave sites with reliable power are a cost advantage.</w:t>
      </w:r>
    </w:p>
    <w:p>
      <w:pPr>
        <w:pStyle w:val="ListParagraph"/>
        <w:numPr>
          <w:ilvl w:val="0"/>
          <w:numId w:val="2"/>
        </w:numPr>
        <w:spacing w:after="60"/>
      </w:pPr>
      <w:r>
        <w:rPr>
          <w:rFonts w:ascii="Calibri" w:cs="Calibri" w:eastAsia="Calibri" w:hAnsi="Calibri"/>
          <w:sz w:val="21"/>
          <w:szCs w:val="21"/>
        </w:rPr>
        <w:t xml:space="preserve">FX and repatriation: NIPC registration and a Certificate of Capital Importation are needed for repatriation; FX reforms (unified windows, clearing of an FX backlog reported at over $7bn) have improved access (Absa index placed Nigeria fourth in Africa for FX access and repatriation). Verify current status and rate (reports of about ₦1,343–1,400 per US dollar).</w:t>
      </w:r>
    </w:p>
    <w:p>
      <w:pPr>
        <w:pStyle w:val="ListParagraph"/>
        <w:numPr>
          <w:ilvl w:val="0"/>
          <w:numId w:val="2"/>
        </w:numPr>
        <w:spacing w:after="60"/>
      </w:pPr>
      <w:r>
        <w:rPr>
          <w:rFonts w:ascii="Calibri" w:cs="Calibri" w:eastAsia="Calibri" w:hAnsi="Calibri"/>
          <w:sz w:val="21"/>
          <w:szCs w:val="21"/>
        </w:rPr>
        <w:t xml:space="preserve">Law: foreign ownership is open; NAFDAC and FCCPC compliance still to be verified. Consequence: licence structure and royalty timing.</w:t>
      </w:r>
    </w:p>
    <w:p>
      <w:pPr>
        <w:pStyle w:val="ListParagraph"/>
        <w:numPr>
          <w:ilvl w:val="0"/>
          <w:numId w:val="2"/>
        </w:numPr>
        <w:spacing w:after="60"/>
      </w:pPr>
      <w:r>
        <w:rPr>
          <w:rFonts w:ascii="Calibri" w:cs="Calibri" w:eastAsia="Calibri" w:hAnsi="Calibri"/>
          <w:sz w:val="21"/>
          <w:szCs w:val="21"/>
        </w:rPr>
        <w:t xml:space="preserve">Critical point: reforms are recent; a snapshot may overstate stability.</w:t>
      </w:r>
    </w:p>
    <w:p>
      <w:pPr>
        <w:pStyle w:val="Heading3"/>
        <w:spacing w:after="80" w:before="140"/>
      </w:pPr>
      <w:r>
        <w:rPr>
          <w:rFonts w:ascii="Calibri" w:cs="Calibri" w:eastAsia="Calibri" w:hAnsi="Calibri"/>
          <w:b/>
          <w:bCs/>
          <w:sz w:val="22"/>
          <w:szCs w:val="22"/>
        </w:rPr>
        <w:t xml:space="preserve">Layer 3. Beyond the store: politics and macro (80 words)</w:t>
      </w:r>
    </w:p>
    <w:p>
      <w:pPr>
        <w:pStyle w:val="ListParagraph"/>
        <w:numPr>
          <w:ilvl w:val="0"/>
          <w:numId w:val="2"/>
        </w:numPr>
        <w:spacing w:after="60"/>
      </w:pPr>
      <w:r>
        <w:rPr>
          <w:rFonts w:ascii="Calibri" w:cs="Calibri" w:eastAsia="Calibri" w:hAnsi="Calibri"/>
          <w:sz w:val="21"/>
          <w:szCs w:val="21"/>
        </w:rPr>
        <w:t xml:space="preserve">CPI 2025: 26/100, rank 142 of 182 (unchanged score). Consequence: partner due diligence.</w:t>
      </w:r>
    </w:p>
    <w:p>
      <w:pPr>
        <w:pStyle w:val="ListParagraph"/>
        <w:numPr>
          <w:ilvl w:val="0"/>
          <w:numId w:val="2"/>
        </w:numPr>
        <w:spacing w:after="60"/>
      </w:pPr>
      <w:r>
        <w:rPr>
          <w:rFonts w:ascii="Calibri" w:cs="Calibri" w:eastAsia="Calibri" w:hAnsi="Calibri"/>
          <w:sz w:val="21"/>
          <w:szCs w:val="21"/>
        </w:rPr>
        <w:t xml:space="preserve">IMF 2026 growth forecast 4.1%; inflation 15.93% (May 2026); policy rate 26.5%. Consequence: pricing and consumer purchasing power.</w:t>
      </w:r>
    </w:p>
    <w:p>
      <w:pPr>
        <w:pStyle w:val="ListParagraph"/>
        <w:numPr>
          <w:ilvl w:val="0"/>
          <w:numId w:val="2"/>
        </w:numPr>
        <w:spacing w:after="60"/>
      </w:pPr>
      <w:r>
        <w:rPr>
          <w:rFonts w:ascii="Calibri" w:cs="Calibri" w:eastAsia="Calibri" w:hAnsi="Calibri"/>
          <w:sz w:val="21"/>
          <w:szCs w:val="21"/>
        </w:rPr>
        <w:t xml:space="preserve">Elections and policy risk: cite only what you can source.</w:t>
      </w:r>
    </w:p>
    <w:p>
      <w:pPr>
        <w:pStyle w:val="ListParagraph"/>
        <w:numPr>
          <w:ilvl w:val="0"/>
          <w:numId w:val="2"/>
        </w:numPr>
        <w:spacing w:after="60"/>
      </w:pPr>
      <w:r>
        <w:rPr>
          <w:rFonts w:ascii="Calibri" w:cs="Calibri" w:eastAsia="Calibri" w:hAnsi="Calibri"/>
          <w:sz w:val="21"/>
          <w:szCs w:val="21"/>
        </w:rPr>
        <w:t xml:space="preserve">Critical point: the enclave limits reach and may create an elitist image; state the legitimacy cost.</w:t>
      </w:r>
    </w:p>
    <w:p>
      <w:pPr>
        <w:pStyle w:val="Heading3"/>
        <w:spacing w:after="80" w:before="140"/>
      </w:pPr>
      <w:r>
        <w:rPr>
          <w:rFonts w:ascii="Calibri" w:cs="Calibri" w:eastAsia="Calibri" w:hAnsi="Calibri"/>
          <w:b/>
          <w:bCs/>
          <w:sz w:val="22"/>
          <w:szCs w:val="22"/>
        </w:rPr>
        <w:t xml:space="preserve">Learning (50 words)</w:t>
      </w:r>
    </w:p>
    <w:p>
      <w:pPr>
        <w:pStyle w:val="ListParagraph"/>
        <w:numPr>
          <w:ilvl w:val="0"/>
          <w:numId w:val="2"/>
        </w:numPr>
        <w:spacing w:after="60"/>
      </w:pPr>
      <w:r>
        <w:rPr>
          <w:rFonts w:ascii="Calibri" w:cs="Calibri" w:eastAsia="Calibri" w:hAnsi="Calibri"/>
          <w:sz w:val="21"/>
          <w:szCs w:val="21"/>
        </w:rPr>
        <w:t xml:space="preserve">Reverse learning: an enclave-first playbook for markets with weak infrastructure; site-level scoring as a market-entry tool; licensing structures that protect quality.</w:t>
      </w:r>
    </w:p>
    <w:p>
      <w:pPr>
        <w:pStyle w:val="ListParagraph"/>
        <w:numPr>
          <w:ilvl w:val="0"/>
          <w:numId w:val="2"/>
        </w:numPr>
        <w:spacing w:after="60"/>
      </w:pPr>
      <w:r>
        <w:rPr>
          <w:rFonts w:ascii="Calibri" w:cs="Calibri" w:eastAsia="Calibri" w:hAnsi="Calibri"/>
          <w:sz w:val="21"/>
          <w:szCs w:val="21"/>
        </w:rPr>
        <w:t xml:space="preserve">Link to the conclusion: what would trigger a move from enclave to network.</w:t>
      </w:r>
    </w:p>
    <w:p>
      <w:pPr>
        <w:pStyle w:val="Heading2"/>
        <w:spacing w:after="100" w:before="200"/>
      </w:pPr>
      <w:r>
        <w:rPr>
          <w:rFonts w:ascii="Calibri" w:cs="Calibri" w:eastAsia="Calibri" w:hAnsi="Calibri"/>
          <w:b/>
          <w:bCs/>
          <w:color w:val="2E5597"/>
          <w:sz w:val="24"/>
          <w:szCs w:val="24"/>
        </w:rPr>
        <w:t xml:space="preserve">Conclusion (50 words)</w:t>
      </w:r>
    </w:p>
    <w:p>
      <w:pPr>
        <w:pStyle w:val="ListParagraph"/>
        <w:numPr>
          <w:ilvl w:val="0"/>
          <w:numId w:val="2"/>
        </w:numPr>
        <w:spacing w:after="60"/>
      </w:pPr>
      <w:r>
        <w:rPr>
          <w:rFonts w:ascii="Calibri" w:cs="Calibri" w:eastAsia="Calibri" w:hAnsi="Calibri"/>
          <w:sz w:val="21"/>
          <w:szCs w:val="21"/>
        </w:rPr>
        <w:t xml:space="preserve">Answer: enclaves first through a master licence.</w:t>
      </w:r>
    </w:p>
    <w:p>
      <w:pPr>
        <w:pStyle w:val="ListParagraph"/>
        <w:numPr>
          <w:ilvl w:val="0"/>
          <w:numId w:val="2"/>
        </w:numPr>
        <w:spacing w:after="60"/>
      </w:pPr>
      <w:r>
        <w:rPr>
          <w:rFonts w:ascii="Calibri" w:cs="Calibri" w:eastAsia="Calibri" w:hAnsi="Calibri"/>
          <w:sz w:val="21"/>
          <w:szCs w:val="21"/>
        </w:rPr>
        <w:t xml:space="preserve">Name what would change the recommendation (FX stability, grid reliability, pilot performance).</w:t>
      </w:r>
    </w:p>
    <w:p>
      <w:pPr>
        <w:pStyle w:val="ListParagraph"/>
        <w:numPr>
          <w:ilvl w:val="0"/>
          <w:numId w:val="2"/>
        </w:numPr>
        <w:spacing w:after="60"/>
      </w:pPr>
      <w:r>
        <w:rPr>
          <w:rFonts w:ascii="Calibri" w:cs="Calibri" w:eastAsia="Calibri" w:hAnsi="Calibri"/>
          <w:sz w:val="21"/>
          <w:szCs w:val="21"/>
        </w:rPr>
        <w:t xml:space="preserve">No new evidence.</w:t>
      </w:r>
    </w:p>
    <w:p>
      <w:pPr>
        <w:pStyle w:val="Heading1"/>
        <w:spacing w:after="120" w:before="300"/>
      </w:pPr>
      <w:r>
        <w:rPr>
          <w:rFonts w:ascii="Calibri" w:cs="Calibri" w:eastAsia="Calibri" w:hAnsi="Calibri"/>
          <w:b/>
          <w:bCs/>
          <w:color w:val="1F3864"/>
          <w:sz w:val="30"/>
          <w:szCs w:val="30"/>
        </w:rPr>
        <w:t xml:space="preserve">7. Evidence dossier</w:t>
      </w:r>
    </w:p>
    <w:p>
      <w:pPr>
        <w:spacing w:after="100"/>
      </w:pPr>
      <w:r>
        <w:rPr>
          <w:rFonts w:ascii="Calibri" w:cs="Calibri" w:eastAsia="Calibri" w:hAnsi="Calibri"/>
          <w:sz w:val="21"/>
          <w:szCs w:val="21"/>
        </w:rPr>
        <w:t xml:space="preserve">OK = found in a source; CHECK = weak, conflicting, dated or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800"/>
        <w:gridCol w:w="2838"/>
      </w:tblGrid>
      <w:tr>
        <w:trPr>
          <w:tblHeader/>
        </w:trPr>
        <w:tc>
          <w:tcPr>
            <w:tcW w:type="dxa" w:w="21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Item</w:t>
            </w:r>
          </w:p>
        </w:tc>
        <w:tc>
          <w:tcPr>
            <w:tcW w:type="dxa" w:w="39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Finding</w:t>
            </w:r>
          </w:p>
        </w:tc>
        <w:tc>
          <w:tcPr>
            <w:tcW w:type="dxa" w:w="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Status</w:t>
            </w:r>
          </w:p>
        </w:tc>
        <w:tc>
          <w:tcPr>
            <w:tcW w:type="dxa" w:w="28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Source note</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Population, age, urbanisation</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237.5m; median age 18.1; 54.9% urban (2025)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Worldometer (UN-based)</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CPI 2025</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26/100; rank 142 of 182</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BusinessDay; Transparency International</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Growth</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IMF April 2026: 4.1%; Q1 2026 actual 3.89%</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AllAfrica; Nairametrics</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Inflation</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15.93% (May 2026); other forecasts conflict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Cite NBS</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Policy rate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26.5%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Nairametrics</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Naira level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CBN assumes about ₦1,400 for 2026; one report cites about ₦1,343 (late August, year unclear)</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CBN data</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FX backlog and reform</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Backlog reported at over $7bn, cleared; Absa index: Nigeria fourth in Africa for FX access</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BusinessDay; Absa; check current status</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Diesel price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About ₦1,715 per litre (5 Oct 2026); Lagos about ₦1,690–1,710; other sources lower</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Global Petrol Prices; BusinessDay</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Backup power burden</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Up to 40% of some firms’ spending; Lagos MSMEs about ₦5.3tn a year</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Ecofin (citing RMI and SEforALL)</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Grid tariff</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Sources conflict (business rate about ₦65.77/kWh; Band A about ₦225)</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Verify with NERC</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Repatriation and ownership</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NIPC registration and CCI; open ownership with a negative list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Mondaq</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NAFDAC and FCCPC rules</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Not found</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Official sources</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Franchise precedents</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Domino’s (103 stores, undated); Carrefour–Hypercity (2026; scale unclear)</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Marketing Edge; GAMA; BCLP</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Mall scarcity</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two major malls in Lagos (older WARC report)</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Find a current source</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Starbucks in Africa</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South Africa 2016 via Taste Holdings; expansion paused</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Modern Ghana; verify pause</w:t>
            </w:r>
          </w:p>
        </w:tc>
      </w:tr>
      <w:tr>
        <w:trPr>
          <w:cantSplit/>
        </w:trPr>
        <w:tc>
          <w:tcPr>
            <w:tcW w:type="dxa" w:w="21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Hofstede (Nigeria)</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PDI 80, IDV 30, MAS 60, UAI 55, LTO 13, IVR 84</w:t>
            </w:r>
          </w:p>
        </w:tc>
        <w:tc>
          <w:tcPr>
            <w:tcW w:type="dxa" w:w="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CHECK</w:t>
            </w:r>
          </w:p>
        </w:tc>
        <w:tc>
          <w:tcPr>
            <w:tcW w:type="dxa" w:w="28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Cyborlink; verify at Hofstede Insights</w:t>
            </w:r>
          </w:p>
        </w:tc>
      </w:tr>
    </w:tbl>
    <w:p>
      <w:pPr>
        <w:pStyle w:val="Heading1"/>
        <w:spacing w:after="120" w:before="300"/>
      </w:pPr>
      <w:r>
        <w:rPr>
          <w:rFonts w:ascii="Calibri" w:cs="Calibri" w:eastAsia="Calibri" w:hAnsi="Calibri"/>
          <w:b/>
          <w:bCs/>
          <w:color w:val="1F3864"/>
          <w:sz w:val="30"/>
          <w:szCs w:val="30"/>
        </w:rPr>
        <w:t xml:space="preserve">8. Visuals and appendices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5038"/>
      </w:tblGrid>
      <w:tr>
        <w:trPr>
          <w:tblHeader/>
        </w:trPr>
        <w:tc>
          <w:tcPr>
            <w:tcW w:type="dxa" w:w="29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Item</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Location</w:t>
            </w:r>
          </w:p>
        </w:tc>
        <w:tc>
          <w:tcPr>
            <w:tcW w:type="dxa" w:w="50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Notes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Figure 1: Three-layer diagram (inside, around, beyond the store) with one headline fact per layer</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w:t>
            </w:r>
          </w:p>
        </w:tc>
        <w:tc>
          <w:tcPr>
            <w:tcW w:type="dxa" w:w="5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Matches the AC2 structure; no new claims.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Table 1: VRIO verdicts on three resources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Body or Appendix</w:t>
            </w:r>
          </w:p>
        </w:tc>
        <w:tc>
          <w:tcPr>
            <w:tcW w:type="dxa" w:w="5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Only in the body if word count allows.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A: country screen and Starbucks-presence check</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Nigeria versus verified comparators.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B: enclave site scorecard (power, security, clientele, rent, licensee capability) with example sites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Score only verified sites.</w:t>
            </w:r>
          </w:p>
        </w:tc>
      </w:tr>
      <w:tr>
        <w:trPr>
          <w:cantSplit/>
        </w:trPr>
        <w:tc>
          <w:tcPr>
            <w:tcW w:type="dxa" w:w="2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 C: FX and diesel scenario table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Appendix</w:t>
            </w:r>
          </w:p>
        </w:tc>
        <w:tc>
          <w:tcPr>
            <w:tcW w:type="dxa" w:w="50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See below.</w:t>
            </w:r>
          </w:p>
        </w:tc>
      </w:tr>
    </w:tbl>
    <w:p>
      <w:pPr>
        <w:spacing w:after="80"/>
      </w:pPr>
    </w:p>
    <w:p>
      <w:pPr>
        <w:pStyle w:val="Heading3"/>
        <w:spacing w:after="80" w:before="140"/>
      </w:pPr>
      <w:r>
        <w:rPr>
          <w:rFonts w:ascii="Calibri" w:cs="Calibri" w:eastAsia="Calibri" w:hAnsi="Calibri"/>
          <w:b/>
          <w:bCs/>
          <w:sz w:val="22"/>
          <w:szCs w:val="22"/>
        </w:rPr>
        <w:t xml:space="preserve">Appendix C: FX and diesel scenario table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900"/>
        <w:gridCol w:w="2538"/>
      </w:tblGrid>
      <w:tr>
        <w:trPr>
          <w:tblHeader/>
        </w:trPr>
        <w:tc>
          <w:tcPr>
            <w:tcW w:type="dxa" w:w="18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Scenario</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Naira per US dollar</w:t>
            </w:r>
          </w:p>
        </w:tc>
        <w:tc>
          <w:tcPr>
            <w:tcW w:type="dxa" w:w="17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Diesel per litre</w:t>
            </w:r>
          </w:p>
        </w:tc>
        <w:tc>
          <w:tcPr>
            <w:tcW w:type="dxa" w:w="19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Royalty in US dollars</w:t>
            </w:r>
          </w:p>
        </w:tc>
        <w:tc>
          <w:tcPr>
            <w:tcW w:type="dxa" w:w="25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Partner margin</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Base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Use CBN planning rate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Current pump price</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Royalty percentage × local sales ÷ FX rate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Compute with stated assumptions</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Stress</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Weaker naira (justify)</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Higher (justify)</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Recompute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Recompute</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Upside</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Stronger naira (justify)</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Lower (justify)</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Recompute</w:t>
            </w:r>
          </w:p>
        </w:tc>
        <w:tc>
          <w:tcPr>
            <w:tcW w:type="dxa" w:w="2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Recompute</w:t>
            </w:r>
          </w:p>
        </w:tc>
      </w:tr>
    </w:tbl>
    <w:p>
      <w:pPr>
        <w:spacing w:after="100"/>
        <w:rPr>
          <w:i/>
          <w:iCs/>
        </w:rPr>
      </w:pPr>
      <w:r>
        <w:rPr>
          <w:rFonts w:ascii="Calibri" w:cs="Calibri" w:eastAsia="Calibri" w:hAnsi="Calibri"/>
          <w:i/>
          <w:iCs/>
          <w:sz w:val="21"/>
          <w:szCs w:val="21"/>
        </w:rPr>
        <w:t xml:space="preserve">Do not invent royalty or margin figures. Show the formula and the assumptions; the marker rewards transparent logic.</w:t>
      </w:r>
    </w:p>
    <w:p>
      <w:pPr>
        <w:pStyle w:val="Heading1"/>
        <w:spacing w:after="120" w:before="300"/>
      </w:pPr>
      <w:r>
        <w:rPr>
          <w:rFonts w:ascii="Calibri" w:cs="Calibri" w:eastAsia="Calibri" w:hAnsi="Calibri"/>
          <w:b/>
          <w:bCs/>
          <w:color w:val="1F3864"/>
          <w:sz w:val="30"/>
          <w:szCs w:val="30"/>
        </w:rPr>
        <w:t xml:space="preserve">9. Reference plan (verify each before citing)</w:t>
      </w:r>
    </w:p>
    <w:p>
      <w:pPr>
        <w:pStyle w:val="ListParagraph"/>
        <w:numPr>
          <w:ilvl w:val="0"/>
          <w:numId w:val="2"/>
        </w:numPr>
        <w:spacing w:after="60"/>
      </w:pPr>
      <w:r>
        <w:rPr>
          <w:rFonts w:ascii="Calibri" w:cs="Calibri" w:eastAsia="Calibri" w:hAnsi="Calibri"/>
          <w:sz w:val="21"/>
          <w:szCs w:val="21"/>
        </w:rPr>
        <w:t xml:space="preserve">Barney, J.B. (1995) ‘Looking inside for competitive advantage’, Academy of Management Executive, 9(4).</w:t>
      </w:r>
    </w:p>
    <w:p>
      <w:pPr>
        <w:pStyle w:val="ListParagraph"/>
        <w:numPr>
          <w:ilvl w:val="0"/>
          <w:numId w:val="2"/>
        </w:numPr>
        <w:spacing w:after="60"/>
      </w:pPr>
      <w:r>
        <w:rPr>
          <w:rFonts w:ascii="Calibri" w:cs="Calibri" w:eastAsia="Calibri" w:hAnsi="Calibri"/>
          <w:sz w:val="21"/>
          <w:szCs w:val="21"/>
        </w:rPr>
        <w:t xml:space="preserve">DiMaggio, P.J. and Powell, W.W. (1983) ‘The iron cage revisited’, American Sociological Review, 48(2).</w:t>
      </w:r>
    </w:p>
    <w:p>
      <w:pPr>
        <w:pStyle w:val="ListParagraph"/>
        <w:numPr>
          <w:ilvl w:val="0"/>
          <w:numId w:val="2"/>
        </w:numPr>
        <w:spacing w:after="60"/>
      </w:pPr>
      <w:r>
        <w:rPr>
          <w:rFonts w:ascii="Calibri" w:cs="Calibri" w:eastAsia="Calibri" w:hAnsi="Calibri"/>
          <w:sz w:val="21"/>
          <w:szCs w:val="21"/>
        </w:rPr>
        <w:t xml:space="preserve">Dunning, J.H. (2001) ‘The eclectic (OLI) paradigm of international production: past, present and future’, International Journal of the Economics of Business, 8(2).</w:t>
      </w:r>
    </w:p>
    <w:p>
      <w:pPr>
        <w:pStyle w:val="ListParagraph"/>
        <w:numPr>
          <w:ilvl w:val="0"/>
          <w:numId w:val="2"/>
        </w:numPr>
        <w:spacing w:after="60"/>
      </w:pPr>
      <w:r>
        <w:rPr>
          <w:rFonts w:ascii="Calibri" w:cs="Calibri" w:eastAsia="Calibri" w:hAnsi="Calibri"/>
          <w:sz w:val="21"/>
          <w:szCs w:val="21"/>
        </w:rPr>
        <w:t xml:space="preserve">Hofstede, G. (2001) Culture’s Consequences. 2nd edn.</w:t>
      </w:r>
    </w:p>
    <w:p>
      <w:pPr>
        <w:pStyle w:val="ListParagraph"/>
        <w:numPr>
          <w:ilvl w:val="0"/>
          <w:numId w:val="2"/>
        </w:numPr>
        <w:spacing w:after="60"/>
      </w:pPr>
      <w:r>
        <w:rPr>
          <w:rFonts w:ascii="Calibri" w:cs="Calibri" w:eastAsia="Calibri" w:hAnsi="Calibri"/>
          <w:sz w:val="21"/>
          <w:szCs w:val="21"/>
        </w:rPr>
        <w:t xml:space="preserve">House, R.J. et al. (2004) Culture, Leadership, and Organizations: The GLOBE Study of 62 Societies.</w:t>
      </w:r>
    </w:p>
    <w:p>
      <w:pPr>
        <w:pStyle w:val="ListParagraph"/>
        <w:numPr>
          <w:ilvl w:val="0"/>
          <w:numId w:val="2"/>
        </w:numPr>
        <w:spacing w:after="60"/>
      </w:pPr>
      <w:r>
        <w:rPr>
          <w:rFonts w:ascii="Calibri" w:cs="Calibri" w:eastAsia="Calibri" w:hAnsi="Calibri"/>
          <w:sz w:val="21"/>
          <w:szCs w:val="21"/>
        </w:rPr>
        <w:t xml:space="preserve">Kostova, T. and Zaheer, S. (1999) ‘Organizational legitimacy under conditions of complexity: the case of the multinational enterprise’, Academy of Management Review, 24(1).</w:t>
      </w:r>
    </w:p>
    <w:p>
      <w:pPr>
        <w:pStyle w:val="ListParagraph"/>
        <w:numPr>
          <w:ilvl w:val="0"/>
          <w:numId w:val="2"/>
        </w:numPr>
        <w:spacing w:after="60"/>
      </w:pPr>
      <w:r>
        <w:rPr>
          <w:rFonts w:ascii="Calibri" w:cs="Calibri" w:eastAsia="Calibri" w:hAnsi="Calibri"/>
          <w:sz w:val="21"/>
          <w:szCs w:val="21"/>
        </w:rPr>
        <w:t xml:space="preserve">Meyer, J.W. and Rowan, B. (1977) ‘Institutionalized organizations: formal structure as myth and ceremony’, American Journal of Sociology, 83(2).</w:t>
      </w:r>
    </w:p>
    <w:p>
      <w:pPr>
        <w:pStyle w:val="ListParagraph"/>
        <w:numPr>
          <w:ilvl w:val="0"/>
          <w:numId w:val="2"/>
        </w:numPr>
        <w:spacing w:after="60"/>
      </w:pPr>
      <w:r>
        <w:rPr>
          <w:rFonts w:ascii="Calibri" w:cs="Calibri" w:eastAsia="Calibri" w:hAnsi="Calibri"/>
          <w:sz w:val="21"/>
          <w:szCs w:val="21"/>
        </w:rPr>
        <w:t xml:space="preserve">Scott, W.R. (2014) Institutions and Organizations. 4th edn.</w:t>
      </w:r>
    </w:p>
    <w:p>
      <w:pPr>
        <w:pStyle w:val="ListParagraph"/>
        <w:numPr>
          <w:ilvl w:val="0"/>
          <w:numId w:val="2"/>
        </w:numPr>
        <w:spacing w:after="60"/>
      </w:pPr>
      <w:r>
        <w:rPr>
          <w:rFonts w:ascii="Calibri" w:cs="Calibri" w:eastAsia="Calibri" w:hAnsi="Calibri"/>
          <w:sz w:val="21"/>
          <w:szCs w:val="21"/>
        </w:rPr>
        <w:t xml:space="preserve">Starbucks Corporation: latest Form 10-K and Global Impact Report.</w:t>
      </w:r>
    </w:p>
    <w:p>
      <w:pPr>
        <w:pStyle w:val="ListParagraph"/>
        <w:numPr>
          <w:ilvl w:val="0"/>
          <w:numId w:val="2"/>
        </w:numPr>
        <w:spacing w:after="60"/>
      </w:pPr>
      <w:r>
        <w:rPr>
          <w:rFonts w:ascii="Calibri" w:cs="Calibri" w:eastAsia="Calibri" w:hAnsi="Calibri"/>
          <w:sz w:val="21"/>
          <w:szCs w:val="21"/>
        </w:rPr>
        <w:t xml:space="preserve">Transparency International (2026) Corruption Perceptions Index 2025.</w:t>
      </w:r>
    </w:p>
    <w:p>
      <w:pPr>
        <w:pStyle w:val="ListParagraph"/>
        <w:numPr>
          <w:ilvl w:val="0"/>
          <w:numId w:val="2"/>
        </w:numPr>
        <w:spacing w:after="60"/>
      </w:pPr>
      <w:r>
        <w:rPr>
          <w:rFonts w:ascii="Calibri" w:cs="Calibri" w:eastAsia="Calibri" w:hAnsi="Calibri"/>
          <w:sz w:val="21"/>
          <w:szCs w:val="21"/>
        </w:rPr>
        <w:t xml:space="preserve">IMF (2026) World Economic Outlook, April.</w:t>
      </w:r>
    </w:p>
    <w:p>
      <w:pPr>
        <w:pStyle w:val="ListParagraph"/>
        <w:numPr>
          <w:ilvl w:val="0"/>
          <w:numId w:val="2"/>
        </w:numPr>
        <w:spacing w:after="60"/>
      </w:pPr>
      <w:r>
        <w:rPr>
          <w:rFonts w:ascii="Calibri" w:cs="Calibri" w:eastAsia="Calibri" w:hAnsi="Calibri"/>
          <w:sz w:val="21"/>
          <w:szCs w:val="21"/>
        </w:rPr>
        <w:t xml:space="preserve">Central Bank of Nigeria: foreign exchange and monetary policy publications.</w:t>
      </w:r>
    </w:p>
    <w:p>
      <w:pPr>
        <w:pStyle w:val="ListParagraph"/>
        <w:numPr>
          <w:ilvl w:val="0"/>
          <w:numId w:val="2"/>
        </w:numPr>
        <w:spacing w:after="60"/>
      </w:pPr>
      <w:r>
        <w:rPr>
          <w:rFonts w:ascii="Calibri" w:cs="Calibri" w:eastAsia="Calibri" w:hAnsi="Calibri"/>
          <w:sz w:val="21"/>
          <w:szCs w:val="21"/>
        </w:rPr>
        <w:t xml:space="preserve">Nigerian Investment Promotion Commission (NIPC Act) and CBN repatriation guidance.</w:t>
      </w:r>
    </w:p>
    <w:p>
      <w:pPr>
        <w:pStyle w:val="Heading1"/>
        <w:spacing w:after="120" w:before="300"/>
      </w:pPr>
      <w:r>
        <w:rPr>
          <w:rFonts w:ascii="Calibri" w:cs="Calibri" w:eastAsia="Calibri" w:hAnsi="Calibri"/>
          <w:b/>
          <w:bCs/>
          <w:color w:val="1F3864"/>
          <w:sz w:val="30"/>
          <w:szCs w:val="30"/>
        </w:rPr>
        <w:t xml:space="preserve">10. Voice and wording (keep this report’s language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Element</w:t>
            </w:r>
          </w:p>
        </w:tc>
        <w:tc>
          <w:tcPr>
            <w:tcW w:type="dxa" w:w="7438"/>
            <w:tcBorders>
              <w:top w:val="single" w:color="999999" w:sz="4"/>
              <w:left w:val="single" w:color="999999" w:sz="4"/>
              <w:bottom w:val="single" w:color="999999" w:sz="4"/>
              <w:right w:val="single" w:color="999999" w:sz="4"/>
            </w:tcBorders>
            <w:shd w:fill="1F3864" w:color="auto" w:val="clear"/>
            <w:tcMar>
              <w:top w:type="dxa" w:w="60"/>
              <w:left w:type="dxa" w:w="90"/>
              <w:bottom w:type="dxa" w:w="60"/>
              <w:right w:type="dxa" w:w="90"/>
            </w:tcMar>
          </w:tcPr>
          <w:p>
            <w:r>
              <w:rPr>
                <w:rFonts w:ascii="Calibri" w:cs="Calibri" w:eastAsia="Calibri" w:hAnsi="Calibri"/>
                <w:b/>
                <w:bCs/>
                <w:color w:val="FFFFFF"/>
                <w:sz w:val="19"/>
                <w:szCs w:val="19"/>
              </w:rPr>
              <w:t xml:space="preserve">Guidance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Opening move</w:t>
            </w:r>
          </w:p>
        </w:tc>
        <w:tc>
          <w:tcPr>
            <w:tcW w:type="dxa" w:w="74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Start with the counter-intuitive claim: the case for Nigeria is about the building, not the country.</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Signature vocabulary</w:t>
            </w:r>
          </w:p>
        </w:tc>
        <w:tc>
          <w:tcPr>
            <w:tcW w:type="dxa" w:w="74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enclave, site-level advantage, decoupling, the “O” hinge, legitimacy gap, institutional island.</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Avoid</w:t>
            </w:r>
          </w:p>
        </w:tc>
        <w:tc>
          <w:tcPr>
            <w:tcW w:type="dxa" w:w="74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Phrases a generic report would use: “market potential”, “untapped”, “emerging market opportunity”, “strategic partnership”.</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Evidence style</w:t>
            </w:r>
          </w:p>
        </w:tc>
        <w:tc>
          <w:tcPr>
            <w:tcW w:type="dxa" w:w="74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Short claim, then a sourced number, then a consequence for the site or the licensee.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Closing move</w:t>
            </w:r>
          </w:p>
        </w:tc>
        <w:tc>
          <w:tcPr>
            <w:tcW w:type="dxa" w:w="74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b w:val="false"/>
                <w:bCs w:val="false"/>
                <w:sz w:val="19"/>
                <w:szCs w:val="19"/>
              </w:rPr>
              <w:t xml:space="preserve">Name the trigger that would turn the enclave into a network.</w:t>
            </w:r>
          </w:p>
        </w:tc>
      </w:tr>
    </w:tbl>
    <w:p>
      <w:pPr>
        <w:pStyle w:val="Heading1"/>
        <w:spacing w:after="120" w:before="300"/>
      </w:pPr>
      <w:r>
        <w:rPr>
          <w:rFonts w:ascii="Calibri" w:cs="Calibri" w:eastAsia="Calibri" w:hAnsi="Calibri"/>
          <w:b/>
          <w:bCs/>
          <w:color w:val="1F3864"/>
          <w:sz w:val="30"/>
          <w:szCs w:val="30"/>
        </w:rPr>
        <w:t xml:space="preserve">11. Before you write: gaps to close</w:t>
      </w:r>
    </w:p>
    <w:p>
      <w:pPr>
        <w:spacing w:after="60"/>
      </w:pPr>
      <w:r>
        <w:rPr>
          <w:rFonts w:ascii="Calibri" w:cs="Calibri" w:eastAsia="Calibri" w:hAnsi="Calibri"/>
          <w:sz w:val="21"/>
          <w:szCs w:val="21"/>
        </w:rPr>
        <w:t xml:space="preserve">☐  Starbucks presence confirmed and recorded.</w:t>
      </w:r>
    </w:p>
    <w:p>
      <w:pPr>
        <w:spacing w:after="60"/>
      </w:pPr>
      <w:r>
        <w:rPr>
          <w:rFonts w:ascii="Calibri" w:cs="Calibri" w:eastAsia="Calibri" w:hAnsi="Calibri"/>
          <w:sz w:val="21"/>
          <w:szCs w:val="21"/>
        </w:rPr>
        <w:t xml:space="preserve">☐  Hofstede Insights opened; all six Nigerian scores confirmed or the gap stated; GLOBE Nigeria data checked.</w:t>
      </w:r>
    </w:p>
    <w:p>
      <w:pPr>
        <w:spacing w:after="60"/>
      </w:pPr>
      <w:r>
        <w:rPr>
          <w:rFonts w:ascii="Calibri" w:cs="Calibri" w:eastAsia="Calibri" w:hAnsi="Calibri"/>
          <w:sz w:val="21"/>
          <w:szCs w:val="21"/>
        </w:rPr>
        <w:t xml:space="preserve">☐  Current naira rate, diesel price and grid tariff verified with official sources.</w:t>
      </w:r>
    </w:p>
    <w:p>
      <w:pPr>
        <w:spacing w:after="60"/>
      </w:pPr>
      <w:r>
        <w:rPr>
          <w:rFonts w:ascii="Calibri" w:cs="Calibri" w:eastAsia="Calibri" w:hAnsi="Calibri"/>
          <w:sz w:val="21"/>
          <w:szCs w:val="21"/>
        </w:rPr>
        <w:t xml:space="preserve">☐  NAFDAC, FCCPC and franchise rules found.</w:t>
      </w:r>
    </w:p>
    <w:p>
      <w:pPr>
        <w:spacing w:after="60"/>
      </w:pPr>
      <w:r>
        <w:rPr>
          <w:rFonts w:ascii="Calibri" w:cs="Calibri" w:eastAsia="Calibri" w:hAnsi="Calibri"/>
          <w:sz w:val="21"/>
          <w:szCs w:val="21"/>
        </w:rPr>
        <w:t xml:space="preserve">☐  At least two real enclave sites identified and checked.</w:t>
      </w:r>
    </w:p>
    <w:p>
      <w:pPr>
        <w:spacing w:after="80"/>
      </w:pPr>
    </w:p>
    <w:p>
      <w:pPr>
        <w:spacing w:after="100"/>
      </w:pPr>
      <w:r>
        <w:rPr>
          <w:rFonts w:ascii="Calibri" w:cs="Calibri" w:eastAsia="Calibri" w:hAnsi="Calibri"/>
          <w:b/>
          <w:bCs/>
          <w:sz w:val="21"/>
          <w:szCs w:val="21"/>
        </w:rPr>
        <w:t xml:space="preserve">Reminder: </w:t>
      </w:r>
      <w:r>
        <w:rPr>
          <w:rFonts w:ascii="Calibri" w:cs="Calibri" w:eastAsia="Calibri" w:hAnsi="Calibri"/>
          <w:sz w:val="21"/>
          <w:szCs w:val="21"/>
        </w:rPr>
        <w:t xml:space="preserve">the brief allows AI only to review a draft or correct language errors, and any use must be declared on the cover sheet. Each report must be one student’s own work.</w:t>
      </w:r>
    </w:p>
    <w:p>
      <w:pPr>
        <w:pStyle w:val="Heading1"/>
        <w:spacing w:after="120" w:before="300"/>
      </w:pPr>
      <w:r>
        <w:rPr>
          <w:rFonts w:ascii="Calibri" w:cs="Calibri" w:eastAsia="Calibri" w:hAnsi="Calibri"/>
          <w:b/>
          <w:bCs/>
          <w:color w:val="1F3864"/>
          <w:sz w:val="30"/>
          <w:szCs w:val="30"/>
        </w:rPr>
        <w:t xml:space="preserve">12. Sources used for this blueprint</w:t>
      </w:r>
    </w:p>
    <w:p>
      <w:pPr>
        <w:pStyle w:val="ListParagraph"/>
        <w:numPr>
          <w:ilvl w:val="0"/>
          <w:numId w:val="2"/>
        </w:numPr>
        <w:spacing w:after="40"/>
      </w:pPr>
      <w:hyperlink w:history="1" r:id="rIdtrv2hj9dih2zx4dgddmir">
        <w:r>
          <w:rPr>
            <w:rStyle w:val="Hyperlink"/>
            <w:rFonts w:ascii="Calibri" w:cs="Calibri" w:eastAsia="Calibri" w:hAnsi="Calibri"/>
            <w:sz w:val="19"/>
            <w:szCs w:val="19"/>
          </w:rPr>
          <w:t xml:space="preserve">BusinessDay – CPI 2025</w:t>
        </w:r>
      </w:hyperlink>
    </w:p>
    <w:p>
      <w:pPr>
        <w:pStyle w:val="ListParagraph"/>
        <w:numPr>
          <w:ilvl w:val="0"/>
          <w:numId w:val="2"/>
        </w:numPr>
        <w:spacing w:after="40"/>
      </w:pPr>
      <w:hyperlink w:history="1" r:id="rIdv3i-z9ugae-9k9iqgbx-z">
        <w:r>
          <w:rPr>
            <w:rStyle w:val="Hyperlink"/>
            <w:rFonts w:ascii="Calibri" w:cs="Calibri" w:eastAsia="Calibri" w:hAnsi="Calibri"/>
            <w:sz w:val="19"/>
            <w:szCs w:val="19"/>
          </w:rPr>
          <w:t xml:space="preserve">AllAfrica – Nigeria growth projection 2026</w:t>
        </w:r>
      </w:hyperlink>
    </w:p>
    <w:p>
      <w:pPr>
        <w:pStyle w:val="ListParagraph"/>
        <w:numPr>
          <w:ilvl w:val="0"/>
          <w:numId w:val="2"/>
        </w:numPr>
        <w:spacing w:after="40"/>
      </w:pPr>
      <w:hyperlink w:history="1" r:id="rIdpiglz9frujm4-yhmjpawj">
        <w:r>
          <w:rPr>
            <w:rStyle w:val="Hyperlink"/>
            <w:rFonts w:ascii="Calibri" w:cs="Calibri" w:eastAsia="Calibri" w:hAnsi="Calibri"/>
            <w:sz w:val="19"/>
            <w:szCs w:val="19"/>
          </w:rPr>
          <w:t xml:space="preserve">Nairametrics – H2 2026 outlook</w:t>
        </w:r>
      </w:hyperlink>
    </w:p>
    <w:p>
      <w:pPr>
        <w:pStyle w:val="ListParagraph"/>
        <w:numPr>
          <w:ilvl w:val="0"/>
          <w:numId w:val="2"/>
        </w:numPr>
        <w:spacing w:after="40"/>
      </w:pPr>
      <w:hyperlink w:history="1" r:id="rIdmm571o0yplyzdcw1bopas">
        <w:r>
          <w:rPr>
            <w:rStyle w:val="Hyperlink"/>
            <w:rFonts w:ascii="Calibri" w:cs="Calibri" w:eastAsia="Calibri" w:hAnsi="Calibri"/>
            <w:sz w:val="19"/>
            <w:szCs w:val="19"/>
          </w:rPr>
          <w:t xml:space="preserve">Ecofin – the generator tax</w:t>
        </w:r>
      </w:hyperlink>
    </w:p>
    <w:p>
      <w:pPr>
        <w:pStyle w:val="ListParagraph"/>
        <w:numPr>
          <w:ilvl w:val="0"/>
          <w:numId w:val="2"/>
        </w:numPr>
        <w:spacing w:after="40"/>
      </w:pPr>
      <w:hyperlink w:history="1" r:id="rIdf6ee3vwzdqo5q7ax-mres">
        <w:r>
          <w:rPr>
            <w:rStyle w:val="Hyperlink"/>
            <w:rFonts w:ascii="Calibri" w:cs="Calibri" w:eastAsia="Calibri" w:hAnsi="Calibri"/>
            <w:sz w:val="19"/>
            <w:szCs w:val="19"/>
          </w:rPr>
          <w:t xml:space="preserve">BusinessDay – diesel above ₦1,700</w:t>
        </w:r>
      </w:hyperlink>
    </w:p>
    <w:p>
      <w:pPr>
        <w:pStyle w:val="ListParagraph"/>
        <w:numPr>
          <w:ilvl w:val="0"/>
          <w:numId w:val="2"/>
        </w:numPr>
        <w:spacing w:after="40"/>
      </w:pPr>
      <w:hyperlink w:history="1" r:id="rIdl-hx1vng_avebtrs5f8lf">
        <w:r>
          <w:rPr>
            <w:rStyle w:val="Hyperlink"/>
            <w:rFonts w:ascii="Calibri" w:cs="Calibri" w:eastAsia="Calibri" w:hAnsi="Calibri"/>
            <w:sz w:val="19"/>
            <w:szCs w:val="19"/>
          </w:rPr>
          <w:t xml:space="preserve">Global Petrol Prices – Nigeria</w:t>
        </w:r>
      </w:hyperlink>
    </w:p>
    <w:p>
      <w:pPr>
        <w:pStyle w:val="ListParagraph"/>
        <w:numPr>
          <w:ilvl w:val="0"/>
          <w:numId w:val="2"/>
        </w:numPr>
        <w:spacing w:after="40"/>
      </w:pPr>
      <w:hyperlink w:history="1" r:id="rIdy_3_xqyg_r_fk35r4prsg">
        <w:r>
          <w:rPr>
            <w:rStyle w:val="Hyperlink"/>
            <w:rFonts w:ascii="Calibri" w:cs="Calibri" w:eastAsia="Calibri" w:hAnsi="Calibri"/>
            <w:sz w:val="19"/>
            <w:szCs w:val="19"/>
          </w:rPr>
          <w:t xml:space="preserve">BusinessDay – CBN dollar forwards backlog</w:t>
        </w:r>
      </w:hyperlink>
    </w:p>
    <w:p>
      <w:pPr>
        <w:pStyle w:val="ListParagraph"/>
        <w:numPr>
          <w:ilvl w:val="0"/>
          <w:numId w:val="2"/>
        </w:numPr>
        <w:spacing w:after="40"/>
      </w:pPr>
      <w:hyperlink w:history="1" r:id="rIdqshjo1ywfqvgh6x-u-r5g">
        <w:r>
          <w:rPr>
            <w:rStyle w:val="Hyperlink"/>
            <w:rFonts w:ascii="Calibri" w:cs="Calibri" w:eastAsia="Calibri" w:hAnsi="Calibri"/>
            <w:sz w:val="19"/>
            <w:szCs w:val="19"/>
          </w:rPr>
          <w:t xml:space="preserve">Nigeria Housing Market – FX access ranking</w:t>
        </w:r>
      </w:hyperlink>
    </w:p>
    <w:p>
      <w:pPr>
        <w:pStyle w:val="ListParagraph"/>
        <w:numPr>
          <w:ilvl w:val="0"/>
          <w:numId w:val="2"/>
        </w:numPr>
        <w:spacing w:after="40"/>
      </w:pPr>
      <w:hyperlink w:history="1" r:id="rId3k3p4yfm2_vgg7cgb7dsc">
        <w:r>
          <w:rPr>
            <w:rStyle w:val="Hyperlink"/>
            <w:rFonts w:ascii="Calibri" w:cs="Calibri" w:eastAsia="Calibri" w:hAnsi="Calibri"/>
            <w:sz w:val="19"/>
            <w:szCs w:val="19"/>
          </w:rPr>
          <w:t xml:space="preserve">Mondaq – repatriating capital and profits</w:t>
        </w:r>
      </w:hyperlink>
    </w:p>
    <w:p>
      <w:pPr>
        <w:pStyle w:val="ListParagraph"/>
        <w:numPr>
          <w:ilvl w:val="0"/>
          <w:numId w:val="2"/>
        </w:numPr>
        <w:spacing w:after="40"/>
      </w:pPr>
      <w:hyperlink w:history="1" r:id="rId4m5rzdw3lduobxuscmxpj">
        <w:r>
          <w:rPr>
            <w:rStyle w:val="Hyperlink"/>
            <w:rFonts w:ascii="Calibri" w:cs="Calibri" w:eastAsia="Calibri" w:hAnsi="Calibri"/>
            <w:sz w:val="19"/>
            <w:szCs w:val="19"/>
          </w:rPr>
          <w:t xml:space="preserve">GAMA Consumer – Carrefour in Nigeria</w:t>
        </w:r>
      </w:hyperlink>
    </w:p>
    <w:p>
      <w:pPr>
        <w:pStyle w:val="ListParagraph"/>
        <w:numPr>
          <w:ilvl w:val="0"/>
          <w:numId w:val="2"/>
        </w:numPr>
        <w:spacing w:after="40"/>
      </w:pPr>
      <w:hyperlink w:history="1" r:id="rIdavm-4s5q-mosapjiqd9sw">
        <w:r>
          <w:rPr>
            <w:rStyle w:val="Hyperlink"/>
            <w:rFonts w:ascii="Calibri" w:cs="Calibri" w:eastAsia="Calibri" w:hAnsi="Calibri"/>
            <w:sz w:val="19"/>
            <w:szCs w:val="19"/>
          </w:rPr>
          <w:t xml:space="preserve">Marketing Edge – Eat’N’Go (Domino’s)</w:t>
        </w:r>
      </w:hyperlink>
    </w:p>
    <w:p>
      <w:pPr>
        <w:pStyle w:val="ListParagraph"/>
        <w:numPr>
          <w:ilvl w:val="0"/>
          <w:numId w:val="2"/>
        </w:numPr>
        <w:spacing w:after="40"/>
      </w:pPr>
      <w:hyperlink w:history="1" r:id="rIdquvr5y_klncy9ttfih28m">
        <w:r>
          <w:rPr>
            <w:rStyle w:val="Hyperlink"/>
            <w:rFonts w:ascii="Calibri" w:cs="Calibri" w:eastAsia="Calibri" w:hAnsi="Calibri"/>
            <w:sz w:val="19"/>
            <w:szCs w:val="19"/>
          </w:rPr>
          <w:t xml:space="preserve">WARC – brands and malls eye Nigeria</w:t>
        </w:r>
      </w:hyperlink>
    </w:p>
    <w:p>
      <w:pPr>
        <w:pStyle w:val="ListParagraph"/>
        <w:numPr>
          <w:ilvl w:val="0"/>
          <w:numId w:val="2"/>
        </w:numPr>
        <w:spacing w:after="40"/>
      </w:pPr>
      <w:hyperlink w:history="1" r:id="rIdm4wysvkhvpwaqg9ynlssz">
        <w:r>
          <w:rPr>
            <w:rStyle w:val="Hyperlink"/>
            <w:rFonts w:ascii="Calibri" w:cs="Calibri" w:eastAsia="Calibri" w:hAnsi="Calibri"/>
            <w:sz w:val="19"/>
            <w:szCs w:val="19"/>
          </w:rPr>
          <w:t xml:space="preserve">Modern Ghana – Starbucks in South Africa</w:t>
        </w:r>
      </w:hyperlink>
    </w:p>
    <w:p>
      <w:pPr>
        <w:pStyle w:val="ListParagraph"/>
        <w:numPr>
          <w:ilvl w:val="0"/>
          <w:numId w:val="2"/>
        </w:numPr>
        <w:spacing w:after="40"/>
      </w:pPr>
      <w:hyperlink w:history="1" r:id="rIdiggyvxgcl1ljjerudno0a">
        <w:r>
          <w:rPr>
            <w:rStyle w:val="Hyperlink"/>
            <w:rFonts w:ascii="Calibri" w:cs="Calibri" w:eastAsia="Calibri" w:hAnsi="Calibri"/>
            <w:sz w:val="19"/>
            <w:szCs w:val="19"/>
          </w:rPr>
          <w:t xml:space="preserve">Cyborlink – Hofstede scores for Nigeria (verify)</w:t>
        </w:r>
      </w:hyperlink>
    </w:p>
    <w:p>
      <w:pPr>
        <w:pStyle w:val="ListParagraph"/>
        <w:numPr>
          <w:ilvl w:val="0"/>
          <w:numId w:val="2"/>
        </w:numPr>
        <w:spacing w:after="40"/>
      </w:pPr>
      <w:hyperlink w:history="1" r:id="rIdvapf-jt-1squ9btssdzen">
        <w:r>
          <w:rPr>
            <w:rStyle w:val="Hyperlink"/>
            <w:rFonts w:ascii="Calibri" w:cs="Calibri" w:eastAsia="Calibri" w:hAnsi="Calibri"/>
            <w:sz w:val="19"/>
            <w:szCs w:val="19"/>
          </w:rPr>
          <w:t xml:space="preserve">Worldometer – Nigeria population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rv2hj9dih2zx4dgddmir" Type="http://schemas.openxmlformats.org/officeDocument/2006/relationships/hyperlink" Target="https://businessday.ng/companies/article/nigeria-ranks-142th-out-of-182-countries-in-2025-corruption-perceptions-index/" TargetMode="External"/><Relationship Id="rIdv3i-z9ugae-9k9iqgbx-z" Type="http://schemas.openxmlformats.org/officeDocument/2006/relationships/hyperlink" Target="https://allafrica.com/stories/202601160069.html" TargetMode="External"/><Relationship Id="rIdpiglz9frujm4-yhmjpawj" Type="http://schemas.openxmlformats.org/officeDocument/2006/relationships/hyperlink" Target="https://nairametrics.com/2026/06/30/nigeria-economy-slow-gdp-rising-inflation-elections-cloud-h2-2026-outlook/" TargetMode="External"/><Relationship Id="rIdmm571o0yplyzdcw1bopas" Type="http://schemas.openxmlformats.org/officeDocument/2006/relationships/hyperlink" Target="https://www.ecofinagency.com/news-industry/1209-48656-powerless-the-generator-tax-stifling-nigerian-businesses" TargetMode="External"/><Relationship Id="rIdf6ee3vwzdqo5q7ax-mres" Type="http://schemas.openxmlformats.org/officeDocument/2006/relationships/hyperlink" Target="https://businessday.ng/energy/article/diesel-above-n1700-litre-worsens-businesses-blackout-woes/" TargetMode="External"/><Relationship Id="rIdl-hx1vng_avebtrs5f8lf" Type="http://schemas.openxmlformats.org/officeDocument/2006/relationships/hyperlink" Target="https://www.globalpetrolprices.com/Nigeria/" TargetMode="External"/><Relationship Id="rIdy_3_xqyg_r_fk35r4prsg" Type="http://schemas.openxmlformats.org/officeDocument/2006/relationships/hyperlink" Target="https://businessday.ng/news/article/cbn-dollar-forwards-backlog-hurts-investor-confidence-in-new-fx-reform/" TargetMode="External"/><Relationship Id="rIdqshjo1ywfqvgh6x-u-r5g" Type="http://schemas.openxmlformats.org/officeDocument/2006/relationships/hyperlink" Target="https://www.nigeriahousingmarket.com/news/nigeria-records-significant-improvement-in-fx-access-ranking-after-reforms" TargetMode="External"/><Relationship Id="rId3k3p4yfm2_vgg7cgb7dsc" Type="http://schemas.openxmlformats.org/officeDocument/2006/relationships/hyperlink" Target="https://www.mondaq.com/nigeria/investment-strategy/1519352/how-to-successfully-repatriate-capital-and-profits-in-nigeria-by-foreign-investors" TargetMode="External"/><Relationship Id="rId4m5rzdw3lduobxuscmxpj" Type="http://schemas.openxmlformats.org/officeDocument/2006/relationships/hyperlink" Target="https://www.gamaconsumer.com/nigeria-carrefour-enter-market-part-continued-africa-push/" TargetMode="External"/><Relationship Id="rIdavm-4s5q-mosapjiqd9sw" Type="http://schemas.openxmlformats.org/officeDocument/2006/relationships/hyperlink" Target="https://marketingedge.com.ng/eatngo-spreads-to-14-cities-across-nigeria/" TargetMode="External"/><Relationship Id="rIdquvr5y_klncy9ttfih28m" Type="http://schemas.openxmlformats.org/officeDocument/2006/relationships/hyperlink" Target="https://www.warc.com/newsandopinion/news/brands-and-malls-eye-nigeria/en-gb/33857" TargetMode="External"/><Relationship Id="rIdm4wysvkhvpwaqg9ynlssz" Type="http://schemas.openxmlformats.org/officeDocument/2006/relationships/hyperlink" Target="https://www.modernghana.com/news/687355/starbucks-opens-first-cafe-in-sub-saharan-africa.html" TargetMode="External"/><Relationship Id="rIdiggyvxgcl1ljjerudno0a" Type="http://schemas.openxmlformats.org/officeDocument/2006/relationships/hyperlink" Target="https://cyborlink.com/besite/nigeria.htm" TargetMode="External"/><Relationship Id="rIdvapf-jt-1squ9btssdzen" Type="http://schemas.openxmlformats.org/officeDocument/2006/relationships/hyperlink" Target="https://www.worldometers.info/world-population/nigeria-population/"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Starbucks Nigeria Blueprint</dc:title>
  <dc:creator>Blueprint</dc:creator>
  <cp:lastModifiedBy>Un-named</cp:lastModifiedBy>
  <cp:revision>1</cp:revision>
  <dcterms:created xsi:type="dcterms:W3CDTF">2026-10-14T02:24:24.321Z</dcterms:created>
  <dcterms:modified xsi:type="dcterms:W3CDTF">2026-10-14T02:24:24.323Z</dcterms:modified>
</cp:coreProperties>
</file>

<file path=docProps/custom.xml><?xml version="1.0" encoding="utf-8"?>
<Properties xmlns="http://schemas.openxmlformats.org/officeDocument/2006/custom-properties" xmlns:vt="http://schemas.openxmlformats.org/officeDocument/2006/docPropsVTypes"/>
</file>