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Task 1: Individual Reflection</w:t>
      </w:r>
    </w:p>
    <w:p>
      <w:r>
        <w:rPr>
          <w:b/>
        </w:rPr>
        <w:t>Leadership through listening, accountability and team participation</w:t>
      </w:r>
    </w:p>
    <w:p>
      <w:r>
        <w:t>Studying emotional intelligence, empathy and trust in Week 4 made me reconsider a belief I held: that a good leader is someone who decides quickly and makes sure instructions are followed. A team can have capable people and clear targets yet still struggle if they do not feel able to speak up.</w:t>
      </w:r>
    </w:p>
    <w:p>
      <w:r>
        <w:t>Edmondson (1999) defines psychological safety as a shared belief that the team is safe for interpersonal risk-taking. Take a team introducing a new digital system. If the supervisor expects everyone to adapt at once, less confident colleagues may avoid asking questions, and mistakes become more likely. Inviting questions and letting colleagues support one another would be more effective. This connects to Goleman (1998), who identifies self-awareness and empathy as core leadership capabilities: a leader who cannot notice their own impatience or others’ uncertainty will not hear the problem early. Trust matters too, because people disclose difficulties to leaders they believe are both capable and caring (Mayer, Davis and Schoorman, 1995).</w:t>
      </w:r>
    </w:p>
    <w:p>
      <w:r>
        <w:t>This does not mean lowering standards. Openness has to be combined with clear responsibilities, otherwise a supportive climate can leave people unaccountable.</w:t>
      </w:r>
    </w:p>
    <w:p>
      <w:r>
        <w:t>My main development area is patience with people who approach unfamiliar tasks differently from me. I also need to check whether I listen to understand or simply wait to give my own view. In my next group work I will ask each person what support they need, agree responsibilities at the start and invite early discussion of difficulties. I will ask a trusted peer for feedback on how I respond to concerns and review it after four weeks. I now see leadership as shown not only by the decisions a person makes, but by whether their behaviour helps others contribute with confidence.</w:t>
      </w:r>
    </w:p>
    <w:p>
      <w:pPr>
        <w:pStyle w:val="Heading1"/>
      </w:pPr>
      <w:r>
        <w:t>Task 2: Plan for the Summative Assessment</w:t>
      </w:r>
    </w:p>
    <w:p>
      <w:r>
        <w:rPr>
          <w:b/>
        </w:rPr>
        <w:t>Proposed title: Adapting Leadership to People, Tasks and Social Contexts</w:t>
      </w:r>
    </w:p>
    <w:p>
      <w:r>
        <w:rPr>
          <w:b/>
        </w:rPr>
        <w:t>Introduction</w:t>
      </w:r>
    </w:p>
    <w:p>
      <w:r>
        <w:t>I will argue that effective leadership needs more than one fixed style: leaders adapt to people and situations, and social identity affects how leadership is recognised. I will test this through Tim Cook at Apple (AC1) and Ursula Burns of Xerox (AC3).</w:t>
      </w:r>
    </w:p>
    <w:p>
      <w:r>
        <w:rPr>
          <w:b/>
        </w:rPr>
        <w:t>AC1: Understanding Leadership</w:t>
      </w:r>
    </w:p>
    <w:p>
      <w:r>
        <w:t>Kotter (1990) separates management (coping with complexity) from leadership (coping with change), which gives me my starting definitions. Mintzberg (1973) shows that real managers combine interpersonal, informational and decisional work, so the two overlap. Hersey, Blanchard and Johnson (2013) add a situational model in which leaders vary direction and support with followers’ readiness. I will use it, but also note its limits: it is a style model, and its categories are difficult to test.</w:t>
      </w:r>
    </w:p>
    <w:p>
      <w:r>
        <w:t>Cook leads a large technology company in which management systems (operations, supply chains, coordination) and leadership (direction and priorities) both matter, so the case tests the overlap. Apple’s annual report (Apple Inc., 2025) will give organisational context only. Because company documents state aims and do not evaluate leaders, I will set them against independent business-press and academic analysis, including criticism of his record.</w:t>
      </w:r>
    </w:p>
    <w:p>
      <w:r>
        <w:rPr>
          <w:b/>
        </w:rPr>
        <w:t>AC3: Diverse Leader</w:t>
      </w:r>
    </w:p>
    <w:p>
      <w:r>
        <w:t>I chose Burns because she was the first Black woman to lead a Fortune 500 company (Livingston, Rosette and Washington, 2012), and her career raises questions about representation and access. I rejected Cook for AC3 to keep the two cases separate.</w:t>
      </w:r>
    </w:p>
    <w:p>
      <w:r>
        <w:t>Crenshaw’s (1989) intersectionality will be my main lens, treating race and gender as combined influences. Livingston et al. (2012) and Rosette et al. (2016) show how race and gender together affect how leaders are judged, so I will examine how perceptions of Burns’s authority may differ from other groups. Her own memoir (Burns, 2021) is evidence of experience but is self-reported, so I will read it with caution.</w:t>
      </w:r>
    </w:p>
    <w:p>
      <w:r>
        <w:t>Limits: one successful leader does not show that structural barriers have disappeared, experimental studies use fictional leaders, and I will not assume her experience represents all Black women leaders. I will also consider organisational factors such as mentoring and promotion practices, supported by evidence.</w:t>
      </w:r>
    </w:p>
    <w:p>
      <w:r>
        <w:rPr>
          <w:b/>
        </w:rPr>
        <w:t>Conclusion</w:t>
      </w:r>
    </w:p>
    <w:p>
      <w:r>
        <w:t>Both cases test whether adaptable leadership and reliable management systems work together, and whether identity shapes access to and perception of leadership. The main risk is relying on flattering sources, reduced by independent analysis.</w:t>
      </w:r>
    </w:p>
    <w:p>
      <w:pPr>
        <w:pStyle w:val="Heading1"/>
      </w:pPr>
      <w:r>
        <w:t>Reference List</w:t>
      </w:r>
    </w:p>
    <w:p>
      <w:r>
        <w:t>Apple Inc. (2025) Form 10-K for the fiscal year ended September 27, 2025. Available at: https://www.sec.gov/Archives/edgar/data/320193/000032019325000079/aapl-20250927.htm (Accessed: 15 October 2026).</w:t>
      </w:r>
    </w:p>
    <w:p>
      <w:r>
        <w:t>Burns, U. (2021) Where you are is not who you are: a memoir. New York: Amistad.</w:t>
      </w:r>
    </w:p>
    <w:p>
      <w:r>
        <w:t>Crenshaw, K. (1989) 'Demarginalizing the intersection of race and sex: a black feminist critique of antidiscrimination doctrine, feminist theory and antiracist politics', University of Chicago Legal Forum, 1989(1), pp. 139–167.</w:t>
      </w:r>
    </w:p>
    <w:p>
      <w:r>
        <w:t>Edmondson, A. (1999) 'Psychological safety and learning behavior in work teams', Administrative Science Quarterly, 44(2), pp. 350–383.</w:t>
      </w:r>
    </w:p>
    <w:p>
      <w:r>
        <w:t>Goleman, D. (1998) 'What makes a leader?', Harvard Business Review, 76(6), pp. 93–102.</w:t>
      </w:r>
    </w:p>
    <w:p>
      <w:r>
        <w:t>Hersey, P., Blanchard, K.H. and Johnson, D.E. (2013) Management of organizational behavior: leading human resources. 10th edn. Harlow: Pearson.</w:t>
      </w:r>
    </w:p>
    <w:p>
      <w:r>
        <w:t>Kotter, J.P. (1990) 'What leaders really do', Harvard Business Review, 68(3), pp. 103–111.</w:t>
      </w:r>
    </w:p>
    <w:p>
      <w:r>
        <w:t>Livingston, R.W., Rosette, A.S. and Washington, E.F. (2012) 'Can an agentic Black woman get ahead? The impact of race and interpersonal dominance on perceptions of female leaders', Psychological Science, 23(4), pp. 354–358. doi:10.1177/0956797611428079.</w:t>
      </w:r>
    </w:p>
    <w:p>
      <w:r>
        <w:t>Mayer, R.C., Davis, J.H. and Schoorman, F.D. (1995) 'An integrative model of organizational trust', Academy of Management Review, 20(3), pp. 709–734.</w:t>
      </w:r>
    </w:p>
    <w:p>
      <w:r>
        <w:t>Mintzberg, H. (1973) The nature of managerial work. New York: Harper &amp; Row.</w:t>
      </w:r>
    </w:p>
    <w:p>
      <w:r>
        <w:t>Rosette, A.S., Koval, C.Z., Ma, A. and Livingston, R. (2016) 'Race matters for women leaders: intersectional effects on agentic deficiencies and penalties', The Leadership Quarterly, 27(3), pp. 429–445.</w:t>
      </w:r>
    </w:p>
    <w:sectPr w:rsidR="008D4E83" w:rsidRPr="000D7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752"/>
    <w:rsid w:val="0015074B"/>
    <w:rsid w:val="0029639D"/>
    <w:rsid w:val="00326F90"/>
    <w:rsid w:val="007039BC"/>
    <w:rsid w:val="008C2FB5"/>
    <w:rsid w:val="008D4E83"/>
    <w:rsid w:val="00A22A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8A941"/>
  <w14:defaultImageDpi w14:val="300"/>
  <w15:docId w15:val="{40EDB19C-C84E-4BF6-8516-DBB3CC00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2A14"/>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A22A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75058">
      <w:bodyDiv w:val="1"/>
      <w:marLeft w:val="0"/>
      <w:marRight w:val="0"/>
      <w:marTop w:val="0"/>
      <w:marBottom w:val="0"/>
      <w:divBdr>
        <w:top w:val="none" w:sz="0" w:space="0" w:color="auto"/>
        <w:left w:val="none" w:sz="0" w:space="0" w:color="auto"/>
        <w:bottom w:val="none" w:sz="0" w:space="0" w:color="auto"/>
        <w:right w:val="none" w:sz="0" w:space="0" w:color="auto"/>
      </w:divBdr>
    </w:div>
    <w:div w:id="568615130">
      <w:bodyDiv w:val="1"/>
      <w:marLeft w:val="0"/>
      <w:marRight w:val="0"/>
      <w:marTop w:val="0"/>
      <w:marBottom w:val="0"/>
      <w:divBdr>
        <w:top w:val="none" w:sz="0" w:space="0" w:color="auto"/>
        <w:left w:val="none" w:sz="0" w:space="0" w:color="auto"/>
        <w:bottom w:val="none" w:sz="0" w:space="0" w:color="auto"/>
        <w:right w:val="none" w:sz="0" w:space="0" w:color="auto"/>
      </w:divBdr>
    </w:div>
    <w:div w:id="852690460">
      <w:bodyDiv w:val="1"/>
      <w:marLeft w:val="0"/>
      <w:marRight w:val="0"/>
      <w:marTop w:val="0"/>
      <w:marBottom w:val="0"/>
      <w:divBdr>
        <w:top w:val="none" w:sz="0" w:space="0" w:color="auto"/>
        <w:left w:val="none" w:sz="0" w:space="0" w:color="auto"/>
        <w:bottom w:val="none" w:sz="0" w:space="0" w:color="auto"/>
        <w:right w:val="none" w:sz="0" w:space="0" w:color="auto"/>
      </w:divBdr>
    </w:div>
    <w:div w:id="1147629995">
      <w:bodyDiv w:val="1"/>
      <w:marLeft w:val="0"/>
      <w:marRight w:val="0"/>
      <w:marTop w:val="0"/>
      <w:marBottom w:val="0"/>
      <w:divBdr>
        <w:top w:val="none" w:sz="0" w:space="0" w:color="auto"/>
        <w:left w:val="none" w:sz="0" w:space="0" w:color="auto"/>
        <w:bottom w:val="none" w:sz="0" w:space="0" w:color="auto"/>
        <w:right w:val="none" w:sz="0" w:space="0" w:color="auto"/>
      </w:divBdr>
    </w:div>
    <w:div w:id="1559241134">
      <w:bodyDiv w:val="1"/>
      <w:marLeft w:val="0"/>
      <w:marRight w:val="0"/>
      <w:marTop w:val="0"/>
      <w:marBottom w:val="0"/>
      <w:divBdr>
        <w:top w:val="none" w:sz="0" w:space="0" w:color="auto"/>
        <w:left w:val="none" w:sz="0" w:space="0" w:color="auto"/>
        <w:bottom w:val="none" w:sz="0" w:space="0" w:color="auto"/>
        <w:right w:val="none" w:sz="0" w:space="0" w:color="auto"/>
      </w:divBdr>
    </w:div>
    <w:div w:id="1797916881">
      <w:bodyDiv w:val="1"/>
      <w:marLeft w:val="0"/>
      <w:marRight w:val="0"/>
      <w:marTop w:val="0"/>
      <w:marBottom w:val="0"/>
      <w:divBdr>
        <w:top w:val="none" w:sz="0" w:space="0" w:color="auto"/>
        <w:left w:val="none" w:sz="0" w:space="0" w:color="auto"/>
        <w:bottom w:val="none" w:sz="0" w:space="0" w:color="auto"/>
        <w:right w:val="none" w:sz="0" w:space="0" w:color="auto"/>
      </w:divBdr>
    </w:div>
    <w:div w:id="1855461795">
      <w:bodyDiv w:val="1"/>
      <w:marLeft w:val="0"/>
      <w:marRight w:val="0"/>
      <w:marTop w:val="0"/>
      <w:marBottom w:val="0"/>
      <w:divBdr>
        <w:top w:val="none" w:sz="0" w:space="0" w:color="auto"/>
        <w:left w:val="none" w:sz="0" w:space="0" w:color="auto"/>
        <w:bottom w:val="none" w:sz="0" w:space="0" w:color="auto"/>
        <w:right w:val="none" w:sz="0" w:space="0" w:color="auto"/>
      </w:divBdr>
    </w:div>
    <w:div w:id="1856773024">
      <w:bodyDiv w:val="1"/>
      <w:marLeft w:val="0"/>
      <w:marRight w:val="0"/>
      <w:marTop w:val="0"/>
      <w:marBottom w:val="0"/>
      <w:divBdr>
        <w:top w:val="none" w:sz="0" w:space="0" w:color="auto"/>
        <w:left w:val="none" w:sz="0" w:space="0" w:color="auto"/>
        <w:bottom w:val="none" w:sz="0" w:space="0" w:color="auto"/>
        <w:right w:val="none" w:sz="0" w:space="0" w:color="auto"/>
      </w:divBdr>
    </w:div>
    <w:div w:id="1875580348">
      <w:bodyDiv w:val="1"/>
      <w:marLeft w:val="0"/>
      <w:marRight w:val="0"/>
      <w:marTop w:val="0"/>
      <w:marBottom w:val="0"/>
      <w:divBdr>
        <w:top w:val="none" w:sz="0" w:space="0" w:color="auto"/>
        <w:left w:val="none" w:sz="0" w:space="0" w:color="auto"/>
        <w:bottom w:val="none" w:sz="0" w:space="0" w:color="auto"/>
        <w:right w:val="none" w:sz="0" w:space="0" w:color="auto"/>
      </w:divBdr>
      <w:divsChild>
        <w:div w:id="841045424">
          <w:marLeft w:val="0"/>
          <w:marRight w:val="0"/>
          <w:marTop w:val="0"/>
          <w:marBottom w:val="0"/>
          <w:divBdr>
            <w:top w:val="none" w:sz="0" w:space="0" w:color="auto"/>
            <w:left w:val="none" w:sz="0" w:space="0" w:color="auto"/>
            <w:bottom w:val="none" w:sz="0" w:space="0" w:color="auto"/>
            <w:right w:val="none" w:sz="0" w:space="0" w:color="auto"/>
          </w:divBdr>
          <w:divsChild>
            <w:div w:id="1875538181">
              <w:marLeft w:val="0"/>
              <w:marRight w:val="0"/>
              <w:marTop w:val="0"/>
              <w:marBottom w:val="0"/>
              <w:divBdr>
                <w:top w:val="none" w:sz="0" w:space="0" w:color="auto"/>
                <w:left w:val="none" w:sz="0" w:space="0" w:color="auto"/>
                <w:bottom w:val="none" w:sz="0" w:space="0" w:color="auto"/>
                <w:right w:val="none" w:sz="0" w:space="0" w:color="auto"/>
              </w:divBdr>
              <w:divsChild>
                <w:div w:id="1651669313">
                  <w:marLeft w:val="0"/>
                  <w:marRight w:val="0"/>
                  <w:marTop w:val="0"/>
                  <w:marBottom w:val="0"/>
                  <w:divBdr>
                    <w:top w:val="none" w:sz="0" w:space="0" w:color="auto"/>
                    <w:left w:val="none" w:sz="0" w:space="0" w:color="auto"/>
                    <w:bottom w:val="none" w:sz="0" w:space="0" w:color="auto"/>
                    <w:right w:val="none" w:sz="0" w:space="0" w:color="auto"/>
                  </w:divBdr>
                </w:div>
              </w:divsChild>
            </w:div>
            <w:div w:id="1406877768">
              <w:marLeft w:val="0"/>
              <w:marRight w:val="0"/>
              <w:marTop w:val="0"/>
              <w:marBottom w:val="0"/>
              <w:divBdr>
                <w:top w:val="none" w:sz="0" w:space="0" w:color="auto"/>
                <w:left w:val="none" w:sz="0" w:space="0" w:color="auto"/>
                <w:bottom w:val="none" w:sz="0" w:space="0" w:color="auto"/>
                <w:right w:val="none" w:sz="0" w:space="0" w:color="auto"/>
              </w:divBdr>
              <w:divsChild>
                <w:div w:id="27918733">
                  <w:marLeft w:val="0"/>
                  <w:marRight w:val="0"/>
                  <w:marTop w:val="0"/>
                  <w:marBottom w:val="0"/>
                  <w:divBdr>
                    <w:top w:val="none" w:sz="0" w:space="0" w:color="auto"/>
                    <w:left w:val="none" w:sz="0" w:space="0" w:color="auto"/>
                    <w:bottom w:val="none" w:sz="0" w:space="0" w:color="auto"/>
                    <w:right w:val="none" w:sz="0" w:space="0" w:color="auto"/>
                  </w:divBdr>
                </w:div>
                <w:div w:id="3801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ghts.som.yale.edu/insights/departing-pepsico-ceo-indra-nooyi-did-it-her-way" TargetMode="External"/><Relationship Id="rId3" Type="http://schemas.openxmlformats.org/officeDocument/2006/relationships/styles" Target="styles.xml"/><Relationship Id="rId7" Type="http://schemas.openxmlformats.org/officeDocument/2006/relationships/hyperlink" Target="https://doi.org/10.1177/26941058202404010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8/JBS-06-2025-012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13678779251352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Raj Giri</cp:lastModifiedBy>
  <cp:revision>3</cp:revision>
  <dcterms:created xsi:type="dcterms:W3CDTF">2013-12-23T23:15:00Z</dcterms:created>
  <dcterms:modified xsi:type="dcterms:W3CDTF">2026-10-15T12:05:00Z</dcterms:modified>
  <cp:category/>
</cp:coreProperties>
</file>