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864"/>
          <w:sz w:val="40"/>
          <w:szCs w:val="40"/>
        </w:rPr>
        <w:t xml:space="preserve">Blueprint: Starbucks Expansion into Nepal</w:t>
      </w:r>
    </w:p>
    <w:p>
      <w:pPr>
        <w:spacing w:after="100"/>
        <w:rPr>
          <w:i/>
          <w:iCs/>
          <w:color w:val="555555"/>
        </w:rPr>
      </w:pPr>
      <w:r>
        <w:rPr>
          <w:rFonts w:ascii="Calibri" w:cs="Calibri" w:eastAsia="Calibri" w:hAnsi="Calibri"/>
          <w:i/>
          <w:iCs/>
          <w:color w:val="555555"/>
          <w:sz w:val="21"/>
          <w:szCs w:val="21"/>
        </w:rPr>
        <w:t xml:space="preserve">International Business in the Global Economy – Formative Assessment (BSc Applied Management, BPP)</w:t>
      </w:r>
    </w:p>
    <w:p>
      <w:pPr>
        <w:spacing w:after="100"/>
        <w:rPr>
          <w:b/>
          <w:bCs/>
        </w:rPr>
      </w:pPr>
      <w:r>
        <w:rPr>
          <w:rFonts w:ascii="Calibri" w:cs="Calibri" w:eastAsia="Calibri" w:hAnsi="Calibri"/>
          <w:b/>
          <w:bCs/>
          <w:sz w:val="21"/>
          <w:szCs w:val="21"/>
        </w:rPr>
        <w:t xml:space="preserve">1,000-word strategic report | AC1 + AC2 | Target 85+ | Blueprint only – no report text drafted</w:t>
      </w:r>
    </w:p>
    <w:p>
      <w:pPr>
        <w:spacing w:after="80"/>
      </w:pPr>
    </w:p>
    <w:p>
      <w:pPr>
        <w:pStyle w:val="Heading1"/>
        <w:spacing w:after="120" w:before="300"/>
      </w:pPr>
      <w:r>
        <w:rPr>
          <w:rFonts w:ascii="Calibri" w:cs="Calibri" w:eastAsia="Calibri" w:hAnsi="Calibri"/>
          <w:b/>
          <w:bCs/>
          <w:color w:val="1F3864"/>
          <w:sz w:val="30"/>
          <w:szCs w:val="30"/>
        </w:rPr>
        <w:t xml:space="preserve">1. What the rubric rewards (and how this design answers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00"/>
        <w:gridCol w:w="5938"/>
      </w:tblGrid>
      <w:tr>
        <w:trPr>
          <w:tblHeader/>
        </w:trPr>
        <w:tc>
          <w:tcPr>
            <w:tcW w:type="dxa" w:w="3700"/>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r>
              <w:rPr>
                <w:rFonts w:ascii="Calibri" w:cs="Calibri" w:eastAsia="Calibri" w:hAnsi="Calibri"/>
                <w:b/>
                <w:bCs/>
                <w:color w:val="FFFFFF"/>
                <w:sz w:val="19"/>
                <w:szCs w:val="19"/>
              </w:rPr>
              <w:t xml:space="preserve">Rubric requirement (80–100%)</w:t>
            </w:r>
          </w:p>
        </w:tc>
        <w:tc>
          <w:tcPr>
            <w:tcW w:type="dxa" w:w="5938"/>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r>
              <w:rPr>
                <w:rFonts w:ascii="Calibri" w:cs="Calibri" w:eastAsia="Calibri" w:hAnsi="Calibri"/>
                <w:b/>
                <w:bCs/>
                <w:color w:val="FFFFFF"/>
                <w:sz w:val="19"/>
                <w:szCs w:val="19"/>
              </w:rPr>
              <w:t xml:space="preserve">How this design meets it</w:t>
            </w:r>
          </w:p>
        </w:tc>
      </w:tr>
      <w:tr>
        <w:trPr>
          <w:cantSplit/>
        </w:trPr>
        <w:tc>
          <w:tcPr>
            <w:tcW w:type="dxa" w:w="3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AC1: “detailed and deeply integrated” discussion; RBV, Institutional Theory and Eclectic Paradigm all explicitly applied</w:t>
            </w:r>
          </w:p>
        </w:tc>
        <w:tc>
          <w:tcPr>
            <w:tcW w:type="dxa" w:w="593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One argument: RBV decides which resources travel, OLI decides why Nepal and how, institutional theory decides the legal and legitimacy form. Each hands to the next with an explicit link sentence.</w:t>
            </w:r>
          </w:p>
        </w:tc>
      </w:tr>
      <w:tr>
        <w:trPr>
          <w:cantSplit/>
        </w:trPr>
        <w:tc>
          <w:tcPr>
            <w:tcW w:type="dxa" w:w="3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AC1: “Exceptional critical evaluation… well-chosen examples”</w:t>
            </w:r>
          </w:p>
        </w:tc>
        <w:tc>
          <w:tcPr>
            <w:tcW w:type="dxa" w:w="593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Every theory gets a limit; every claim gets a dated, sourced example (Laos licence, China ownership shift, Nepal coffee trade data).</w:t>
            </w:r>
          </w:p>
        </w:tc>
      </w:tr>
      <w:tr>
        <w:trPr>
          <w:cantSplit/>
        </w:trPr>
        <w:tc>
          <w:tcPr>
            <w:tcW w:type="dxa" w:w="3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AC1/AC2: “exceedingly coherent”</w:t>
            </w:r>
          </w:p>
        </w:tc>
        <w:tc>
          <w:tcPr>
            <w:tcW w:type="dxa" w:w="593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Single thesis, stage-gate conclusion that answers it.</w:t>
            </w:r>
          </w:p>
        </w:tc>
      </w:tr>
      <w:tr>
        <w:trPr>
          <w:cantSplit/>
        </w:trPr>
        <w:tc>
          <w:tcPr>
            <w:tcW w:type="dxa" w:w="3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AC2: “all elements of Hofstede”, management approach changes, remaining competitive globally</w:t>
            </w:r>
          </w:p>
        </w:tc>
        <w:tc>
          <w:tcPr>
            <w:tcW w:type="dxa" w:w="593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Six dimensions grouped by function; specific changes to leadership, communication, marketing; reverse learning section.</w:t>
            </w:r>
          </w:p>
        </w:tc>
      </w:tr>
      <w:tr>
        <w:trPr>
          <w:cantSplit/>
        </w:trPr>
        <w:tc>
          <w:tcPr>
            <w:tcW w:type="dxa" w:w="3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Referencing: precise and full</w:t>
            </w:r>
          </w:p>
        </w:tc>
        <w:tc>
          <w:tcPr>
            <w:tcW w:type="dxa" w:w="593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Harvard throughout; access dates; every figure traceable to a named source.</w:t>
            </w:r>
          </w:p>
        </w:tc>
      </w:tr>
      <w:tr>
        <w:trPr>
          <w:cantSplit/>
        </w:trPr>
        <w:tc>
          <w:tcPr>
            <w:tcW w:type="dxa" w:w="3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Academic skills: originality, integrity</w:t>
            </w:r>
          </w:p>
        </w:tc>
        <w:tc>
          <w:tcPr>
            <w:tcW w:type="dxa" w:w="593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An original thesis (real options, buyer before seller) and honest flagging of data limits.</w:t>
            </w:r>
          </w:p>
        </w:tc>
      </w:tr>
    </w:tbl>
    <w:p>
      <w:pPr>
        <w:spacing w:after="80"/>
      </w:pPr>
    </w:p>
    <w:p>
      <w:pPr>
        <w:pStyle w:val="Heading3"/>
        <w:spacing w:after="80" w:before="140"/>
      </w:pPr>
      <w:r>
        <w:rPr>
          <w:rFonts w:ascii="Calibri" w:cs="Calibri" w:eastAsia="Calibri" w:hAnsi="Calibri"/>
          <w:b/>
          <w:bCs/>
          <w:sz w:val="22"/>
          <w:szCs w:val="22"/>
        </w:rPr>
        <w:t xml:space="preserve">Where a harsh marker deducts</w:t>
      </w:r>
    </w:p>
    <w:p>
      <w:pPr>
        <w:pStyle w:val="ListParagraph"/>
        <w:numPr>
          <w:ilvl w:val="0"/>
          <w:numId w:val="2"/>
        </w:numPr>
        <w:spacing w:after="60"/>
      </w:pPr>
      <w:r>
        <w:rPr>
          <w:rFonts w:ascii="Calibri" w:cs="Calibri" w:eastAsia="Calibri" w:hAnsi="Calibri"/>
          <w:sz w:val="21"/>
          <w:szCs w:val="21"/>
        </w:rPr>
        <w:t xml:space="preserve">Theory described rather than applied; examples with no evidence.</w:t>
      </w:r>
    </w:p>
    <w:p>
      <w:pPr>
        <w:pStyle w:val="ListParagraph"/>
        <w:numPr>
          <w:ilvl w:val="0"/>
          <w:numId w:val="2"/>
        </w:numPr>
        <w:spacing w:after="60"/>
      </w:pPr>
      <w:r>
        <w:rPr>
          <w:rFonts w:ascii="Calibri" w:cs="Calibri" w:eastAsia="Calibri" w:hAnsi="Calibri"/>
          <w:sz w:val="21"/>
          <w:szCs w:val="21"/>
        </w:rPr>
        <w:t xml:space="preserve">Frameworks listed side by side, not integrated.</w:t>
      </w:r>
    </w:p>
    <w:p>
      <w:pPr>
        <w:pStyle w:val="ListParagraph"/>
        <w:numPr>
          <w:ilvl w:val="0"/>
          <w:numId w:val="2"/>
        </w:numPr>
        <w:spacing w:after="60"/>
      </w:pPr>
      <w:r>
        <w:rPr>
          <w:rFonts w:ascii="Calibri" w:cs="Calibri" w:eastAsia="Calibri" w:hAnsi="Calibri"/>
          <w:sz w:val="21"/>
          <w:szCs w:val="21"/>
        </w:rPr>
        <w:t xml:space="preserve">More than ONE framework for the internal analysis (the brief says ONE).</w:t>
      </w:r>
    </w:p>
    <w:p>
      <w:pPr>
        <w:pStyle w:val="ListParagraph"/>
        <w:numPr>
          <w:ilvl w:val="0"/>
          <w:numId w:val="2"/>
        </w:numPr>
        <w:spacing w:after="60"/>
      </w:pPr>
      <w:r>
        <w:rPr>
          <w:rFonts w:ascii="Calibri" w:cs="Calibri" w:eastAsia="Calibri" w:hAnsi="Calibri"/>
          <w:sz w:val="21"/>
          <w:szCs w:val="21"/>
        </w:rPr>
        <w:t xml:space="preserve">Hofstede as a score list; or inventing scores that cannot be sourced.</w:t>
      </w:r>
    </w:p>
    <w:p>
      <w:pPr>
        <w:pStyle w:val="ListParagraph"/>
        <w:numPr>
          <w:ilvl w:val="0"/>
          <w:numId w:val="2"/>
        </w:numPr>
        <w:spacing w:after="60"/>
      </w:pPr>
      <w:r>
        <w:rPr>
          <w:rFonts w:ascii="Calibri" w:cs="Calibri" w:eastAsia="Calibri" w:hAnsi="Calibri"/>
          <w:sz w:val="21"/>
          <w:szCs w:val="21"/>
        </w:rPr>
        <w:t xml:space="preserve">Over-claiming from weak or conflicting data; referencing gaps; over 1,000 words.</w:t>
      </w:r>
    </w:p>
    <w:p>
      <w:pPr>
        <w:pStyle w:val="Heading1"/>
        <w:spacing w:after="120" w:before="300"/>
      </w:pPr>
      <w:r>
        <w:rPr>
          <w:rFonts w:ascii="Calibri" w:cs="Calibri" w:eastAsia="Calibri" w:hAnsi="Calibri"/>
          <w:b/>
          <w:bCs/>
          <w:color w:val="1F3864"/>
          <w:sz w:val="30"/>
          <w:szCs w:val="30"/>
        </w:rPr>
        <w:t xml:space="preserve">2. Country decision and verification</w:t>
      </w:r>
    </w:p>
    <w:p>
      <w:pPr>
        <w:spacing w:after="100"/>
      </w:pPr>
      <w:r>
        <w:rPr>
          <w:rFonts w:ascii="Calibri" w:cs="Calibri" w:eastAsia="Calibri" w:hAnsi="Calibri"/>
          <w:b/>
          <w:bCs/>
          <w:sz w:val="21"/>
          <w:szCs w:val="21"/>
        </w:rPr>
        <w:t xml:space="preserve">Choice: Nepal. </w:t>
      </w:r>
      <w:r>
        <w:rPr>
          <w:rFonts w:ascii="Calibri" w:cs="Calibri" w:eastAsia="Calibri" w:hAnsi="Calibri"/>
          <w:sz w:val="21"/>
          <w:szCs w:val="21"/>
        </w:rPr>
        <w:t xml:space="preserve">Small, landlocked, remittance-dependent, politically volatile, and also a coffee-growing country with a young coffee-shop scene and about 1.16m annual tourists. That combination supports an original argument rather than a standard “large emerging market” one.</w:t>
      </w:r>
    </w:p>
    <w:p>
      <w:pPr>
        <w:spacing w:after="100"/>
      </w:pPr>
      <w:r>
        <w:rPr>
          <w:rFonts w:ascii="Calibri" w:cs="Calibri" w:eastAsia="Calibri" w:hAnsi="Calibri"/>
          <w:b/>
          <w:bCs/>
          <w:sz w:val="21"/>
          <w:szCs w:val="21"/>
        </w:rPr>
        <w:t xml:space="preserve">New-market check: </w:t>
      </w:r>
      <w:r>
        <w:rPr>
          <w:rFonts w:ascii="Calibri" w:cs="Calibri" w:eastAsia="Calibri" w:hAnsi="Calibri"/>
          <w:sz w:val="21"/>
          <w:szCs w:val="21"/>
        </w:rPr>
        <w:t xml:space="preserve">my searches found no evidence of Starbucks stores or announced plans in Nepal; they surfaced local and regional chains instead. That is absence of evidence, not proof. Confirm on the Starbucks store locator and the 10-K market list, and record the check in Appendix A.</w:t>
      </w:r>
    </w:p>
    <w:p>
      <w:pPr>
        <w:spacing w:after="100"/>
      </w:pPr>
      <w:r>
        <w:rPr>
          <w:rFonts w:ascii="Calibri" w:cs="Calibri" w:eastAsia="Calibri" w:hAnsi="Calibri"/>
          <w:b/>
          <w:bCs/>
          <w:sz w:val="21"/>
          <w:szCs w:val="21"/>
        </w:rPr>
        <w:t xml:space="preserve">Precedent to use: </w:t>
      </w:r>
      <w:r>
        <w:rPr>
          <w:rFonts w:ascii="Calibri" w:cs="Calibri" w:eastAsia="Calibri" w:hAnsi="Calibri"/>
          <w:sz w:val="21"/>
          <w:szCs w:val="21"/>
        </w:rPr>
        <w:t xml:space="preserve">Starbucks’ licensed entry into Laos through Coffee Concepts (Laos), part of Maxim’s Caterers, is the closest regional example of a small Asian market entered via a licensed partner. Verify the date and details before citing.</w:t>
      </w:r>
    </w:p>
    <w:p>
      <w:pPr>
        <w:spacing w:after="100"/>
      </w:pPr>
      <w:r>
        <w:rPr>
          <w:rFonts w:ascii="Calibri" w:cs="Calibri" w:eastAsia="Calibri" w:hAnsi="Calibri"/>
          <w:b/>
          <w:bCs/>
          <w:sz w:val="21"/>
          <w:szCs w:val="21"/>
        </w:rPr>
        <w:t xml:space="preserve">Comparators for Appendix A: </w:t>
      </w:r>
      <w:r>
        <w:rPr>
          <w:rFonts w:ascii="Calibri" w:cs="Calibri" w:eastAsia="Calibri" w:hAnsi="Calibri"/>
          <w:sz w:val="21"/>
          <w:szCs w:val="21"/>
        </w:rPr>
        <w:t xml:space="preserve">choose two or three (for example Sri Lanka, Bangladesh, Cambodia) and verify Starbucks’ current presence in each before scoring. Do not assume.</w:t>
      </w:r>
    </w:p>
    <w:p>
      <w:pPr>
        <w:pStyle w:val="Heading1"/>
        <w:spacing w:after="120" w:before="300"/>
      </w:pPr>
      <w:r>
        <w:rPr>
          <w:rFonts w:ascii="Calibri" w:cs="Calibri" w:eastAsia="Calibri" w:hAnsi="Calibri"/>
          <w:b/>
          <w:bCs/>
          <w:color w:val="1F3864"/>
          <w:sz w:val="30"/>
          <w:szCs w:val="30"/>
        </w:rPr>
        <w:t xml:space="preserve">3. Thesis and argument architecture</w:t>
      </w:r>
    </w:p>
    <w:p>
      <w:pPr>
        <w:spacing w:after="100"/>
      </w:pPr>
      <w:r>
        <w:rPr>
          <w:rFonts w:ascii="Calibri" w:cs="Calibri" w:eastAsia="Calibri" w:hAnsi="Calibri"/>
          <w:b/>
          <w:bCs/>
          <w:sz w:val="21"/>
          <w:szCs w:val="21"/>
        </w:rPr>
        <w:t xml:space="preserve">Thesis: </w:t>
      </w:r>
      <w:r>
        <w:rPr>
          <w:rFonts w:ascii="Calibri" w:cs="Calibri" w:eastAsia="Calibri" w:hAnsi="Calibri"/>
          <w:sz w:val="21"/>
          <w:szCs w:val="21"/>
        </w:rPr>
        <w:t xml:space="preserve">Nepal is a weak volume market but a strong strategic option. Starbucks’ transferable advantages (sourcing standards, brand legitimacy) justify a staged, licence-led entry that begins as a buyer of Nepali coffee before becoming a seller, with explicit stage gates so that commitment grows only as institutional and demand uncertainty resolves. Demand rests on two pillars: inbound tourists (a familiar-brand niche) and remittance-supported urban households (a longer-term base).</w:t>
      </w:r>
    </w:p>
    <w:p>
      <w:pPr>
        <w:pStyle w:val="Heading3"/>
        <w:spacing w:after="80" w:before="140"/>
      </w:pPr>
      <w:r>
        <w:rPr>
          <w:rFonts w:ascii="Calibri" w:cs="Calibri" w:eastAsia="Calibri" w:hAnsi="Calibri"/>
          <w:b/>
          <w:bCs/>
          <w:sz w:val="22"/>
          <w:szCs w:val="22"/>
        </w:rPr>
        <w:t xml:space="preserve">Three claims the report must prove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4100"/>
        <w:gridCol w:w="4738"/>
      </w:tblGrid>
      <w:tr>
        <w:trPr>
          <w:tblHeader/>
        </w:trPr>
        <w:tc>
          <w:tcPr>
            <w:tcW w:type="dxa" w:w="800"/>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r>
              <w:rPr>
                <w:rFonts w:ascii="Calibri" w:cs="Calibri" w:eastAsia="Calibri" w:hAnsi="Calibri"/>
                <w:b/>
                <w:bCs/>
                <w:color w:val="FFFFFF"/>
                <w:sz w:val="19"/>
                <w:szCs w:val="19"/>
              </w:rPr>
              <w:t xml:space="preserve">#</w:t>
            </w:r>
          </w:p>
        </w:tc>
        <w:tc>
          <w:tcPr>
            <w:tcW w:type="dxa" w:w="4100"/>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r>
              <w:rPr>
                <w:rFonts w:ascii="Calibri" w:cs="Calibri" w:eastAsia="Calibri" w:hAnsi="Calibri"/>
                <w:b/>
                <w:bCs/>
                <w:color w:val="FFFFFF"/>
                <w:sz w:val="19"/>
                <w:szCs w:val="19"/>
              </w:rPr>
              <w:t xml:space="preserve">Claim</w:t>
            </w:r>
          </w:p>
        </w:tc>
        <w:tc>
          <w:tcPr>
            <w:tcW w:type="dxa" w:w="4738"/>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r>
              <w:rPr>
                <w:rFonts w:ascii="Calibri" w:cs="Calibri" w:eastAsia="Calibri" w:hAnsi="Calibri"/>
                <w:b/>
                <w:bCs/>
                <w:color w:val="FFFFFF"/>
                <w:sz w:val="19"/>
                <w:szCs w:val="19"/>
              </w:rPr>
              <w:t xml:space="preserve">Proof</w:t>
            </w:r>
          </w:p>
        </w:tc>
      </w:tr>
      <w:tr>
        <w:trPr>
          <w:cantSplit/>
        </w:trPr>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C1</w:t>
            </w:r>
          </w:p>
        </w:tc>
        <w:tc>
          <w:tcPr>
            <w:tcW w:type="dxa" w:w="4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The value of Nepal to Starbucks is optionality and origin credibility, not revenue scale.</w:t>
            </w:r>
          </w:p>
        </w:tc>
        <w:tc>
          <w:tcPr>
            <w:tcW w:type="dxa" w:w="473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Income and affordability data (GNI per capita about $1,300; GDP per capita about $1,513); tourist demand (about 1.16m arrivals; average spend only about $33 a day); remittance-fed urban demand; coffee-origin story.</w:t>
            </w:r>
          </w:p>
        </w:tc>
      </w:tr>
      <w:tr>
        <w:trPr>
          <w:cantSplit/>
        </w:trPr>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C2</w:t>
            </w:r>
          </w:p>
        </w:tc>
        <w:tc>
          <w:tcPr>
            <w:tcW w:type="dxa" w:w="4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Only non-location-bound resources transfer; the store experience and partner culture do not travel automatically.</w:t>
            </w:r>
          </w:p>
        </w:tc>
        <w:tc>
          <w:tcPr>
            <w:tcW w:type="dxa" w:w="473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RBV transferability test using Rugman and Verbeke (2004); Starbucks’ South Africa licensee pause as a counter-example if verified.</w:t>
            </w:r>
          </w:p>
        </w:tc>
      </w:tr>
      <w:tr>
        <w:trPr>
          <w:cantSplit/>
        </w:trPr>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C3</w:t>
            </w:r>
          </w:p>
        </w:tc>
        <w:tc>
          <w:tcPr>
            <w:tcW w:type="dxa" w:w="4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Tourist demand is real but thin and volatile: it supports a small number of destination stores, not a national roll-out.</w:t>
            </w:r>
          </w:p>
        </w:tc>
        <w:tc>
          <w:tcPr>
            <w:tcW w:type="dxa" w:w="473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Arrivals (1,158,459 in 2025), seasonality (September 2025 down 18.3%), short per-day spend, India-heavy source mix; test of the “familiar brand” assumption with evidence rather than assertion.</w:t>
            </w:r>
          </w:p>
        </w:tc>
      </w:tr>
      <w:tr>
        <w:trPr>
          <w:cantSplit/>
        </w:trPr>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C4</w:t>
            </w:r>
          </w:p>
        </w:tc>
        <w:tc>
          <w:tcPr>
            <w:tcW w:type="dxa" w:w="4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The right entry mode is dictated as much by institutions as by internalisation economics.</w:t>
            </w:r>
          </w:p>
        </w:tc>
        <w:tc>
          <w:tcPr>
            <w:tcW w:type="dxa" w:w="473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FITTA industrial-activity logic, NRB foreign exchange oversight, CPI 34/100, 2025–26 political shock: all push towards a licensed local operator and staged commitment.</w:t>
            </w:r>
          </w:p>
        </w:tc>
      </w:tr>
    </w:tbl>
    <w:p>
      <w:pPr>
        <w:spacing w:after="80"/>
      </w:pPr>
    </w:p>
    <w:p>
      <w:pPr>
        <w:pStyle w:val="Heading3"/>
        <w:spacing w:after="80" w:before="140"/>
      </w:pPr>
      <w:r>
        <w:rPr>
          <w:rFonts w:ascii="Calibri" w:cs="Calibri" w:eastAsia="Calibri" w:hAnsi="Calibri"/>
          <w:b/>
          <w:bCs/>
          <w:sz w:val="22"/>
          <w:szCs w:val="22"/>
        </w:rPr>
        <w:t xml:space="preserve">Objections a harsh marker will raise, and your pre-emptive answers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00"/>
        <w:gridCol w:w="5938"/>
      </w:tblGrid>
      <w:tr>
        <w:trPr>
          <w:tblHeader/>
        </w:trPr>
        <w:tc>
          <w:tcPr>
            <w:tcW w:type="dxa" w:w="3700"/>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r>
              <w:rPr>
                <w:rFonts w:ascii="Calibri" w:cs="Calibri" w:eastAsia="Calibri" w:hAnsi="Calibri"/>
                <w:b/>
                <w:bCs/>
                <w:color w:val="FFFFFF"/>
                <w:sz w:val="19"/>
                <w:szCs w:val="19"/>
              </w:rPr>
              <w:t xml:space="preserve">Objection</w:t>
            </w:r>
          </w:p>
        </w:tc>
        <w:tc>
          <w:tcPr>
            <w:tcW w:type="dxa" w:w="5938"/>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r>
              <w:rPr>
                <w:rFonts w:ascii="Calibri" w:cs="Calibri" w:eastAsia="Calibri" w:hAnsi="Calibri"/>
                <w:b/>
                <w:bCs/>
                <w:color w:val="FFFFFF"/>
                <w:sz w:val="19"/>
                <w:szCs w:val="19"/>
              </w:rPr>
              <w:t xml:space="preserve">Reply (build into the text, in one sentence each)</w:t>
            </w:r>
          </w:p>
        </w:tc>
      </w:tr>
      <w:tr>
        <w:trPr>
          <w:cantSplit/>
        </w:trPr>
        <w:tc>
          <w:tcPr>
            <w:tcW w:type="dxa" w:w="3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Nepal is too poor and too small for Starbucks.</w:t>
            </w:r>
          </w:p>
        </w:tc>
        <w:tc>
          <w:tcPr>
            <w:tcW w:type="dxa" w:w="593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Agreed on volume (the claim is optionality). Tourists (about 1.16m in 2025) and remittance-supported urban households make a narrow premium niche; the staged design caps downside.</w:t>
            </w:r>
          </w:p>
        </w:tc>
      </w:tr>
      <w:tr>
        <w:trPr>
          <w:cantSplit/>
        </w:trPr>
        <w:tc>
          <w:tcPr>
            <w:tcW w:type="dxa" w:w="3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The 2025–26 political turmoil makes entry reckless.</w:t>
            </w:r>
          </w:p>
        </w:tc>
        <w:tc>
          <w:tcPr>
            <w:tcW w:type="dxa" w:w="593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The unrest cut business confidence, but a majority government since March 2026 may reduce fragmentation. Stage gates convert uncertainty into a decision rule rather than a bet.</w:t>
            </w:r>
          </w:p>
        </w:tc>
      </w:tr>
      <w:tr>
        <w:trPr>
          <w:cantSplit/>
        </w:trPr>
        <w:tc>
          <w:tcPr>
            <w:tcW w:type="dxa" w:w="3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A licensee model gives up control and brand quality (see South Africa).</w:t>
            </w:r>
          </w:p>
        </w:tc>
        <w:tc>
          <w:tcPr>
            <w:tcW w:type="dxa" w:w="593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True; hence a short, conditional first phase and quality-audit rights. Licensing is also the only structure that fits a trading-heavy sector under FITTA (verify).</w:t>
            </w:r>
          </w:p>
        </w:tc>
      </w:tr>
      <w:tr>
        <w:trPr>
          <w:cantSplit/>
        </w:trPr>
        <w:tc>
          <w:tcPr>
            <w:tcW w:type="dxa" w:w="3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Tourists want local cafes, not an international chain.</w:t>
            </w:r>
          </w:p>
        </w:tc>
        <w:tc>
          <w:tcPr>
            <w:tcW w:type="dxa" w:w="593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Fair; the claim is that a segment (first-time and short-stay visitors, long-haul visitors, airport and hotel-linked trade) values familiarity. Test it with segment evidence (Section 6) and keep the pilot to two stores.</w:t>
            </w:r>
          </w:p>
        </w:tc>
      </w:tr>
      <w:tr>
        <w:trPr>
          <w:cantSplit/>
        </w:trPr>
        <w:tc>
          <w:tcPr>
            <w:tcW w:type="dxa" w:w="3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Why not a larger South Asian market?</w:t>
            </w:r>
          </w:p>
        </w:tc>
        <w:tc>
          <w:tcPr>
            <w:tcW w:type="dxa" w:w="593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Appendix A scoring; the argument is about what Nepal uniquely offers (origin, tourism, option value) rather than size.</w:t>
            </w:r>
          </w:p>
        </w:tc>
      </w:tr>
    </w:tbl>
    <w:p>
      <w:pPr>
        <w:pStyle w:val="Heading1"/>
        <w:spacing w:after="120" w:before="300"/>
      </w:pPr>
      <w:r>
        <w:rPr>
          <w:rFonts w:ascii="Calibri" w:cs="Calibri" w:eastAsia="Calibri" w:hAnsi="Calibri"/>
          <w:b/>
          <w:bCs/>
          <w:color w:val="1F3864"/>
          <w:sz w:val="30"/>
          <w:szCs w:val="30"/>
        </w:rPr>
        <w:t xml:space="preserve">4. Theory architecture (who does what, and its limit)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4038"/>
      </w:tblGrid>
      <w:tr>
        <w:trPr>
          <w:tblHeader/>
        </w:trPr>
        <w:tc>
          <w:tcPr>
            <w:tcW w:type="dxa" w:w="2200"/>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r>
              <w:rPr>
                <w:rFonts w:ascii="Calibri" w:cs="Calibri" w:eastAsia="Calibri" w:hAnsi="Calibri"/>
                <w:b/>
                <w:bCs/>
                <w:color w:val="FFFFFF"/>
                <w:sz w:val="19"/>
                <w:szCs w:val="19"/>
              </w:rPr>
              <w:t xml:space="preserve">Theory</w:t>
            </w:r>
          </w:p>
        </w:tc>
        <w:tc>
          <w:tcPr>
            <w:tcW w:type="dxa" w:w="3400"/>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r>
              <w:rPr>
                <w:rFonts w:ascii="Calibri" w:cs="Calibri" w:eastAsia="Calibri" w:hAnsi="Calibri"/>
                <w:b/>
                <w:bCs/>
                <w:color w:val="FFFFFF"/>
                <w:sz w:val="19"/>
                <w:szCs w:val="19"/>
              </w:rPr>
              <w:t xml:space="preserve">Job in the report</w:t>
            </w:r>
          </w:p>
        </w:tc>
        <w:tc>
          <w:tcPr>
            <w:tcW w:type="dxa" w:w="4038"/>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r>
              <w:rPr>
                <w:rFonts w:ascii="Calibri" w:cs="Calibri" w:eastAsia="Calibri" w:hAnsi="Calibri"/>
                <w:b/>
                <w:bCs/>
                <w:color w:val="FFFFFF"/>
                <w:sz w:val="19"/>
                <w:szCs w:val="19"/>
              </w:rPr>
              <w:t xml:space="preserve">Critical limit to state</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RBV (Barney, 1991), extended with location-bound vs non-location-bound resources (Rugman and Verbeke, 2004). The ONE internal framework.</w:t>
            </w:r>
          </w:p>
        </w:tc>
        <w:tc>
          <w:tcPr>
            <w:tcW w:type="dxa" w:w="3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Identify what Starbucks can actually carry to Nepal.</w:t>
            </w:r>
          </w:p>
        </w:tc>
        <w:tc>
          <w:tcPr>
            <w:tcW w:type="dxa" w:w="403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Static; ignores context and imitation by local chains; hard to measure.</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Eclectic Paradigm (Dunning and Lundan, 2008)</w:t>
            </w:r>
          </w:p>
        </w:tc>
        <w:tc>
          <w:tcPr>
            <w:tcW w:type="dxa" w:w="3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O = transferable resources; L = coffee origin plus tourist demand (resource and niche market seeking); I = licence over equity.</w:t>
            </w:r>
          </w:p>
        </w:tc>
        <w:tc>
          <w:tcPr>
            <w:tcW w:type="dxa" w:w="403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Treats location advantages as given; says little about institutions or timing.</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Institution-based view (North, 1990; Peng et al., 2008)</w:t>
            </w:r>
          </w:p>
        </w:tc>
        <w:tc>
          <w:tcPr>
            <w:tcW w:type="dxa" w:w="3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Why legal form, partner legitimacy and political risk change the answer.</w:t>
            </w:r>
          </w:p>
        </w:tc>
        <w:tc>
          <w:tcPr>
            <w:tcW w:type="dxa" w:w="403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Institutions are changing fast in Nepal (post-2025 reset); a snapshot may date quickly.</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Staged commitment and real options (Johanson and Vahlne, 1977; Kogut, 1991)</w:t>
            </w:r>
          </w:p>
        </w:tc>
        <w:tc>
          <w:tcPr>
            <w:tcW w:type="dxa" w:w="3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Justify phasing and gates (one sentence only).</w:t>
            </w:r>
          </w:p>
        </w:tc>
        <w:tc>
          <w:tcPr>
            <w:tcW w:type="dxa" w:w="403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Real options need measurable triggers; Nepal data are thin.</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CAGE distance (Ghemawat, 2001)</w:t>
            </w:r>
          </w:p>
        </w:tc>
        <w:tc>
          <w:tcPr>
            <w:tcW w:type="dxa" w:w="3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Organising spine for AC2.</w:t>
            </w:r>
          </w:p>
        </w:tc>
        <w:tc>
          <w:tcPr>
            <w:tcW w:type="dxa" w:w="403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Distance is not destiny; can understate positive links (diaspora, trade with India).</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Hofstede et al. (2010)</w:t>
            </w:r>
          </w:p>
        </w:tc>
        <w:tc>
          <w:tcPr>
            <w:tcW w:type="dxa" w:w="3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All six dimensions, grouped by management function.</w:t>
            </w:r>
          </w:p>
        </w:tc>
        <w:tc>
          <w:tcPr>
            <w:tcW w:type="dxa" w:w="403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National averages, dated sample, no verified official Nepal scores; ethnic and caste diversity inside Nepal.</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Tourism lens: tourist “environmental bubble” (Cohen, 1972) and destination volatility (Butler, 1980)</w:t>
            </w:r>
          </w:p>
        </w:tc>
        <w:tc>
          <w:tcPr>
            <w:tcW w:type="dxa" w:w="3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Explain why some visitors seek familiar brands, and why tourist demand is cyclical.</w:t>
            </w:r>
          </w:p>
        </w:tc>
        <w:tc>
          <w:tcPr>
            <w:tcW w:type="dxa" w:w="403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Dated, general theories; tourists are not one segment; budget trekkers may avoid premium chains.</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Dynamic capabilities (Teece et al., 1997)</w:t>
            </w:r>
          </w:p>
        </w:tc>
        <w:tc>
          <w:tcPr>
            <w:tcW w:type="dxa" w:w="3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One sentence in the reverse-learning section.</w:t>
            </w:r>
          </w:p>
        </w:tc>
        <w:tc>
          <w:tcPr>
            <w:tcW w:type="dxa" w:w="403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Hard to evidence in a short report; do not over-use.</w:t>
            </w:r>
          </w:p>
        </w:tc>
      </w:tr>
    </w:tbl>
    <w:p>
      <w:pPr>
        <w:spacing w:after="100"/>
        <w:rPr>
          <w:i/>
          <w:iCs/>
        </w:rPr>
      </w:pPr>
      <w:r>
        <w:rPr>
          <w:rFonts w:ascii="Calibri" w:cs="Calibri" w:eastAsia="Calibri" w:hAnsi="Calibri"/>
          <w:i/>
          <w:iCs/>
          <w:sz w:val="21"/>
          <w:szCs w:val="21"/>
        </w:rPr>
        <w:t xml:space="preserve">Do not add Porter’s Diamond or Value Chain. Breadth is not rewarded; depth and integration are.</w:t>
      </w:r>
    </w:p>
    <w:p>
      <w:pPr>
        <w:pStyle w:val="Heading1"/>
        <w:spacing w:after="120" w:before="300"/>
      </w:pPr>
      <w:r>
        <w:rPr>
          <w:rFonts w:ascii="Calibri" w:cs="Calibri" w:eastAsia="Calibri" w:hAnsi="Calibri"/>
          <w:b/>
          <w:bCs/>
          <w:color w:val="1F3864"/>
          <w:sz w:val="30"/>
          <w:szCs w:val="30"/>
        </w:rPr>
        <w:t xml:space="preserve">5. Section plan and word budget (960 + 40 buffer)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00"/>
        <w:gridCol w:w="1200"/>
        <w:gridCol w:w="4038"/>
      </w:tblGrid>
      <w:tr>
        <w:trPr>
          <w:tblHeader/>
        </w:trPr>
        <w:tc>
          <w:tcPr>
            <w:tcW w:type="dxa" w:w="4400"/>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r>
              <w:rPr>
                <w:rFonts w:ascii="Calibri" w:cs="Calibri" w:eastAsia="Calibri" w:hAnsi="Calibri"/>
                <w:b/>
                <w:bCs/>
                <w:color w:val="FFFFFF"/>
                <w:sz w:val="19"/>
                <w:szCs w:val="19"/>
              </w:rPr>
              <w:t xml:space="preserve">Section</w:t>
            </w:r>
          </w:p>
        </w:tc>
        <w:tc>
          <w:tcPr>
            <w:tcW w:type="dxa" w:w="1200"/>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r>
              <w:rPr>
                <w:rFonts w:ascii="Calibri" w:cs="Calibri" w:eastAsia="Calibri" w:hAnsi="Calibri"/>
                <w:b/>
                <w:bCs/>
                <w:color w:val="FFFFFF"/>
                <w:sz w:val="19"/>
                <w:szCs w:val="19"/>
              </w:rPr>
              <w:t xml:space="preserve">Words</w:t>
            </w:r>
          </w:p>
        </w:tc>
        <w:tc>
          <w:tcPr>
            <w:tcW w:type="dxa" w:w="4038"/>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r>
              <w:rPr>
                <w:rFonts w:ascii="Calibri" w:cs="Calibri" w:eastAsia="Calibri" w:hAnsi="Calibri"/>
                <w:b/>
                <w:bCs/>
                <w:color w:val="FFFFFF"/>
                <w:sz w:val="19"/>
                <w:szCs w:val="19"/>
              </w:rPr>
              <w:t xml:space="preserve">Notes</w:t>
            </w:r>
          </w:p>
        </w:tc>
      </w:tr>
      <w:tr>
        <w:trPr>
          <w:cantSplit/>
        </w:trPr>
        <w:tc>
          <w:tcPr>
            <w:tcW w:type="dxa" w:w="4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Introduction</w:t>
            </w:r>
          </w:p>
        </w:tc>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50</w:t>
            </w:r>
          </w:p>
        </w:tc>
        <w:tc>
          <w:tcPr>
            <w:tcW w:type="dxa" w:w="403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Recommendation, thesis, roadmap</w:t>
            </w:r>
          </w:p>
        </w:tc>
      </w:tr>
      <w:tr>
        <w:trPr>
          <w:cantSplit/>
        </w:trPr>
        <w:tc>
          <w:tcPr>
            <w:tcW w:type="dxa" w:w="4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AC1: Competitive Advantage</w:t>
            </w:r>
          </w:p>
        </w:tc>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430</w:t>
            </w:r>
          </w:p>
        </w:tc>
        <w:tc>
          <w:tcPr>
            <w:tcW w:type="dxa" w:w="403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1a 60 + 1b 150 + 1c 220</w:t>
            </w:r>
          </w:p>
        </w:tc>
      </w:tr>
      <w:tr>
        <w:trPr>
          <w:cantSplit/>
        </w:trPr>
        <w:tc>
          <w:tcPr>
            <w:tcW w:type="dxa" w:w="4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AC2: Complexities and Diversities</w:t>
            </w:r>
          </w:p>
        </w:tc>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430</w:t>
            </w:r>
          </w:p>
        </w:tc>
        <w:tc>
          <w:tcPr>
            <w:tcW w:type="dxa" w:w="403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2a 100 + 2b 110 + 2c 160 + 2d 60</w:t>
            </w:r>
          </w:p>
        </w:tc>
      </w:tr>
      <w:tr>
        <w:trPr>
          <w:cantSplit/>
        </w:trPr>
        <w:tc>
          <w:tcPr>
            <w:tcW w:type="dxa" w:w="4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Conclusion</w:t>
            </w:r>
          </w:p>
        </w:tc>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50</w:t>
            </w:r>
          </w:p>
        </w:tc>
        <w:tc>
          <w:tcPr>
            <w:tcW w:type="dxa" w:w="403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Stage gates; no new evidence</w:t>
            </w:r>
          </w:p>
        </w:tc>
      </w:tr>
      <w:tr>
        <w:trPr>
          <w:cantSplit/>
        </w:trPr>
        <w:tc>
          <w:tcPr>
            <w:tcW w:type="dxa" w:w="4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Total</w:t>
            </w:r>
          </w:p>
        </w:tc>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960</w:t>
            </w:r>
          </w:p>
        </w:tc>
        <w:tc>
          <w:tcPr>
            <w:tcW w:type="dxa" w:w="403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40-word margin. Check whether tables, captions and citations count under your programme’s word-count guidelines.</w:t>
            </w:r>
          </w:p>
        </w:tc>
      </w:tr>
    </w:tbl>
    <w:p>
      <w:pPr>
        <w:spacing w:after="80"/>
      </w:pPr>
    </w:p>
    <w:p>
      <w:pPr>
        <w:pStyle w:val="Heading2"/>
        <w:spacing w:after="100" w:before="200"/>
      </w:pPr>
      <w:r>
        <w:rPr>
          <w:rFonts w:ascii="Calibri" w:cs="Calibri" w:eastAsia="Calibri" w:hAnsi="Calibri"/>
          <w:b/>
          <w:bCs/>
          <w:color w:val="2E5597"/>
          <w:sz w:val="24"/>
          <w:szCs w:val="24"/>
        </w:rPr>
        <w:t xml:space="preserve">Introduction (50 words)</w:t>
      </w:r>
    </w:p>
    <w:p>
      <w:pPr>
        <w:pStyle w:val="ListParagraph"/>
        <w:numPr>
          <w:ilvl w:val="0"/>
          <w:numId w:val="2"/>
        </w:numPr>
        <w:spacing w:after="60"/>
      </w:pPr>
      <w:r>
        <w:rPr>
          <w:rFonts w:ascii="Calibri" w:cs="Calibri" w:eastAsia="Calibri" w:hAnsi="Calibri"/>
          <w:sz w:val="21"/>
          <w:szCs w:val="21"/>
        </w:rPr>
        <w:t xml:space="preserve">Sentence 1 (~18): Recommend a staged, licence-led entry into Nepal, starting as a coffee buyer.</w:t>
      </w:r>
    </w:p>
    <w:p>
      <w:pPr>
        <w:pStyle w:val="ListParagraph"/>
        <w:numPr>
          <w:ilvl w:val="0"/>
          <w:numId w:val="2"/>
        </w:numPr>
        <w:spacing w:after="60"/>
      </w:pPr>
      <w:r>
        <w:rPr>
          <w:rFonts w:ascii="Calibri" w:cs="Calibri" w:eastAsia="Calibri" w:hAnsi="Calibri"/>
          <w:sz w:val="21"/>
          <w:szCs w:val="21"/>
        </w:rPr>
        <w:t xml:space="preserve">Sentence 2 (~20): Thesis: Nepal is a strategic option, not a volume market, so commitment should track institutional uncertainty.</w:t>
      </w:r>
    </w:p>
    <w:p>
      <w:pPr>
        <w:pStyle w:val="ListParagraph"/>
        <w:numPr>
          <w:ilvl w:val="0"/>
          <w:numId w:val="2"/>
        </w:numPr>
        <w:spacing w:after="60"/>
      </w:pPr>
      <w:r>
        <w:rPr>
          <w:rFonts w:ascii="Calibri" w:cs="Calibri" w:eastAsia="Calibri" w:hAnsi="Calibri"/>
          <w:sz w:val="21"/>
          <w:szCs w:val="21"/>
        </w:rPr>
        <w:t xml:space="preserve">Sentence 3 (~12): Roadmap: RBV, Eclectic Paradigm and institutions, then distance and culture.</w:t>
      </w:r>
    </w:p>
    <w:p>
      <w:pPr>
        <w:pStyle w:val="Heading2"/>
        <w:spacing w:after="100" w:before="200"/>
      </w:pPr>
      <w:r>
        <w:rPr>
          <w:rFonts w:ascii="Calibri" w:cs="Calibri" w:eastAsia="Calibri" w:hAnsi="Calibri"/>
          <w:b/>
          <w:bCs/>
          <w:color w:val="2E5597"/>
          <w:sz w:val="24"/>
          <w:szCs w:val="24"/>
        </w:rPr>
        <w:t xml:space="preserve">AC1: Competitive Advantage (430 words)</w:t>
      </w:r>
    </w:p>
    <w:p>
      <w:pPr>
        <w:pStyle w:val="Heading3"/>
        <w:spacing w:after="80" w:before="140"/>
      </w:pPr>
      <w:r>
        <w:rPr>
          <w:rFonts w:ascii="Calibri" w:cs="Calibri" w:eastAsia="Calibri" w:hAnsi="Calibri"/>
          <w:b/>
          <w:bCs/>
          <w:sz w:val="22"/>
          <w:szCs w:val="22"/>
        </w:rPr>
        <w:t xml:space="preserve">1a. The strategic case: why this move (60 words)</w:t>
      </w:r>
    </w:p>
    <w:p>
      <w:pPr>
        <w:pStyle w:val="ListParagraph"/>
        <w:numPr>
          <w:ilvl w:val="0"/>
          <w:numId w:val="2"/>
        </w:numPr>
        <w:spacing w:after="60"/>
      </w:pPr>
      <w:r>
        <w:rPr>
          <w:rFonts w:ascii="Calibri" w:cs="Calibri" w:eastAsia="Calibri" w:hAnsi="Calibri"/>
          <w:sz w:val="21"/>
          <w:szCs w:val="21"/>
        </w:rPr>
        <w:t xml:space="preserve">Claim: Starbucks needs growth options as mature and contested markets slow. Use the China ownership shift (up to 60% sold to Boyu Capital, announced November 2025) as evidence that competitive pressure is changing how it commits capital.</w:t>
      </w:r>
    </w:p>
    <w:p>
      <w:pPr>
        <w:pStyle w:val="ListParagraph"/>
        <w:numPr>
          <w:ilvl w:val="0"/>
          <w:numId w:val="2"/>
        </w:numPr>
        <w:spacing w:after="60"/>
      </w:pPr>
      <w:r>
        <w:rPr>
          <w:rFonts w:ascii="Calibri" w:cs="Calibri" w:eastAsia="Calibri" w:hAnsi="Calibri"/>
          <w:sz w:val="21"/>
          <w:szCs w:val="21"/>
        </w:rPr>
        <w:t xml:space="preserve">Evidence from the Starbucks 10-K for International segment growth. Take figures from the filing itself.</w:t>
      </w:r>
    </w:p>
    <w:p>
      <w:pPr>
        <w:pStyle w:val="ListParagraph"/>
        <w:numPr>
          <w:ilvl w:val="0"/>
          <w:numId w:val="2"/>
        </w:numPr>
        <w:spacing w:after="60"/>
      </w:pPr>
      <w:r>
        <w:rPr>
          <w:rFonts w:ascii="Calibri" w:cs="Calibri" w:eastAsia="Calibri" w:hAnsi="Calibri"/>
          <w:sz w:val="21"/>
          <w:szCs w:val="21"/>
        </w:rPr>
        <w:t xml:space="preserve">Critical move: concede that Nepal’s income level (GNI per capita about $1,300) limits revenue upside, so the benefit is optionality, origin credibility and tourist brand touchpoints, not market share. Frame tourism as the first demand pillar, not as proof of market size.</w:t>
      </w:r>
    </w:p>
    <w:p>
      <w:pPr>
        <w:pStyle w:val="Heading3"/>
        <w:spacing w:after="80" w:before="140"/>
      </w:pPr>
      <w:r>
        <w:rPr>
          <w:rFonts w:ascii="Calibri" w:cs="Calibri" w:eastAsia="Calibri" w:hAnsi="Calibri"/>
          <w:b/>
          <w:bCs/>
          <w:sz w:val="22"/>
          <w:szCs w:val="22"/>
        </w:rPr>
        <w:t xml:space="preserve">1b. Which advantages travel: RBV tested (150 words)</w:t>
      </w:r>
    </w:p>
    <w:p>
      <w:pPr>
        <w:pStyle w:val="ListParagraph"/>
        <w:numPr>
          <w:ilvl w:val="0"/>
          <w:numId w:val="2"/>
        </w:numPr>
        <w:spacing w:after="60"/>
      </w:pPr>
      <w:r>
        <w:rPr>
          <w:rFonts w:ascii="Calibri" w:cs="Calibri" w:eastAsia="Calibri" w:hAnsi="Calibri"/>
          <w:sz w:val="21"/>
          <w:szCs w:val="21"/>
        </w:rPr>
        <w:t xml:space="preserve">Split Starbucks’ resources into two groups. Non-location-bound: ethical sourcing standards and farmer-support know-how (C.A.F.E. Practices, verify in the Global Impact Report), brand, supply-chain systems. Location-bound: the store experience and partner culture, which depend on local labour, rents and customer habits (Rugman and Verbeke, 2004).</w:t>
      </w:r>
    </w:p>
    <w:p>
      <w:pPr>
        <w:pStyle w:val="ListParagraph"/>
        <w:numPr>
          <w:ilvl w:val="0"/>
          <w:numId w:val="2"/>
        </w:numPr>
        <w:spacing w:after="60"/>
      </w:pPr>
      <w:r>
        <w:rPr>
          <w:rFonts w:ascii="Calibri" w:cs="Calibri" w:eastAsia="Calibri" w:hAnsi="Calibri"/>
          <w:sz w:val="21"/>
          <w:szCs w:val="21"/>
        </w:rPr>
        <w:t xml:space="preserve">Verdict: only the first group is reliably valuable, rare and costly to imitate in Nepal. Local chains and franchised cafés already compete on experience, so the store format is imitable.</w:t>
      </w:r>
    </w:p>
    <w:p>
      <w:pPr>
        <w:pStyle w:val="ListParagraph"/>
        <w:numPr>
          <w:ilvl w:val="0"/>
          <w:numId w:val="2"/>
        </w:numPr>
        <w:spacing w:after="60"/>
      </w:pPr>
      <w:r>
        <w:rPr>
          <w:rFonts w:ascii="Calibri" w:cs="Calibri" w:eastAsia="Calibri" w:hAnsi="Calibri"/>
          <w:sz w:val="21"/>
          <w:szCs w:val="21"/>
        </w:rPr>
        <w:t xml:space="preserve">Nepal link: the coffee paradox (Figure 1). Nepal grows coffee (about 642 t of green beans) but imports more than it exports and consumes far more than it officially produces. Starbucks’ sourcing capability meets a real local supply and quality gap.</w:t>
      </w:r>
    </w:p>
    <w:p>
      <w:pPr>
        <w:pStyle w:val="ListParagraph"/>
        <w:numPr>
          <w:ilvl w:val="0"/>
          <w:numId w:val="2"/>
        </w:numPr>
        <w:spacing w:after="60"/>
      </w:pPr>
      <w:r>
        <w:rPr>
          <w:rFonts w:ascii="Calibri" w:cs="Calibri" w:eastAsia="Calibri" w:hAnsi="Calibri"/>
          <w:sz w:val="21"/>
          <w:szCs w:val="21"/>
        </w:rPr>
        <w:t xml:space="preserve">Critique (mandatory): RBV assumes resources are portable. Nepal tests that. Cite the South Africa licensee pause only if you can verify it, as evidence that brand does not guarantee unit economics.</w:t>
      </w:r>
    </w:p>
    <w:p>
      <w:pPr>
        <w:pStyle w:val="Heading3"/>
        <w:spacing w:after="80" w:before="140"/>
      </w:pPr>
      <w:r>
        <w:rPr>
          <w:rFonts w:ascii="Calibri" w:cs="Calibri" w:eastAsia="Calibri" w:hAnsi="Calibri"/>
          <w:b/>
          <w:bCs/>
          <w:sz w:val="22"/>
          <w:szCs w:val="22"/>
        </w:rPr>
        <w:t xml:space="preserve">1c. Why Nepal, and why this route: OLI plus institutions (220 words)</w:t>
      </w:r>
    </w:p>
    <w:p>
      <w:pPr>
        <w:pStyle w:val="ListParagraph"/>
        <w:numPr>
          <w:ilvl w:val="0"/>
          <w:numId w:val="2"/>
        </w:numPr>
        <w:spacing w:after="60"/>
      </w:pPr>
      <w:r>
        <w:rPr>
          <w:rFonts w:ascii="Calibri" w:cs="Calibri" w:eastAsia="Calibri" w:hAnsi="Calibri"/>
          <w:sz w:val="21"/>
          <w:szCs w:val="21"/>
        </w:rPr>
        <w:t xml:space="preserve">Location advantage re-read as resource-seeking (Himalayan arabica, organic positioning, trademarked “Himalayan Specialty Nepal Coffee”) plus niche market-seeking through tourists: 1,158,459 arrivals in 2025, India the top source at about 25%, an average stay of 16.34 days, and about 5.25m international passengers through Kathmandu airport.</w:t>
      </w:r>
    </w:p>
    <w:p>
      <w:pPr>
        <w:pStyle w:val="ListParagraph"/>
        <w:numPr>
          <w:ilvl w:val="0"/>
          <w:numId w:val="2"/>
        </w:numPr>
        <w:spacing w:after="60"/>
      </w:pPr>
      <w:r>
        <w:rPr>
          <w:rFonts w:ascii="Calibri" w:cs="Calibri" w:eastAsia="Calibri" w:hAnsi="Calibri"/>
          <w:sz w:val="21"/>
          <w:szCs w:val="21"/>
        </w:rPr>
        <w:t xml:space="preserve">Tourism perspective (see Section 6): the tourist is a ready-made customer who already knows the brand, which reduces the liability of foreignness (Zaheer, 1995) and lowers marketing cost. Critical limits: average spend is only about $33 a day (down from $40.84), well below regional levels; arrivals are seasonal and volatile (September 2025 fell 18.3% during the protests); and Indian visitors, the largest group, already have access to Starbucks at home (verify).</w:t>
      </w:r>
    </w:p>
    <w:p>
      <w:pPr>
        <w:pStyle w:val="ListParagraph"/>
        <w:numPr>
          <w:ilvl w:val="0"/>
          <w:numId w:val="2"/>
        </w:numPr>
        <w:spacing w:after="60"/>
      </w:pPr>
      <w:r>
        <w:rPr>
          <w:rFonts w:ascii="Calibri" w:cs="Calibri" w:eastAsia="Calibri" w:hAnsi="Calibri"/>
          <w:sz w:val="21"/>
          <w:szCs w:val="21"/>
        </w:rPr>
        <w:t xml:space="preserve">Internalisation: equity entry would expose Starbucks to foreign exchange, regulatory and political risk with little demand scale. A licence with a local operator, as in Laos, earns royalties while the partner carries operating risk.</w:t>
      </w:r>
    </w:p>
    <w:p>
      <w:pPr>
        <w:pStyle w:val="ListParagraph"/>
        <w:numPr>
          <w:ilvl w:val="0"/>
          <w:numId w:val="2"/>
        </w:numPr>
        <w:spacing w:after="60"/>
      </w:pPr>
      <w:r>
        <w:rPr>
          <w:rFonts w:ascii="Calibri" w:cs="Calibri" w:eastAsia="Calibri" w:hAnsi="Calibri"/>
          <w:sz w:val="21"/>
          <w:szCs w:val="21"/>
        </w:rPr>
        <w:t xml:space="preserve">Institutions (North, 1990; Peng et al., 2008): FITTA permits foreign investment in “industrial” activities and restricts trading; whether a café counts must be verified. If it does not, a licensed local operator is a legal necessity, not just a preference. Nepal Rastra Bank oversight of foreign exchange and royalty repatriation adds a second constraint.</w:t>
      </w:r>
    </w:p>
    <w:p>
      <w:pPr>
        <w:pStyle w:val="ListParagraph"/>
        <w:numPr>
          <w:ilvl w:val="0"/>
          <w:numId w:val="2"/>
        </w:numPr>
        <w:spacing w:after="60"/>
      </w:pPr>
      <w:r>
        <w:rPr>
          <w:rFonts w:ascii="Calibri" w:cs="Calibri" w:eastAsia="Calibri" w:hAnsi="Calibri"/>
          <w:sz w:val="21"/>
          <w:szCs w:val="21"/>
        </w:rPr>
        <w:t xml:space="preserve">Link sentence: the three theories converge on a staged, licensed entry. Do not claim certainty on legal points you have not verified.</w:t>
      </w:r>
    </w:p>
    <w:p>
      <w:pPr>
        <w:pStyle w:val="Heading2"/>
        <w:spacing w:after="100" w:before="200"/>
      </w:pPr>
      <w:r>
        <w:rPr>
          <w:rFonts w:ascii="Calibri" w:cs="Calibri" w:eastAsia="Calibri" w:hAnsi="Calibri"/>
          <w:b/>
          <w:bCs/>
          <w:color w:val="2E5597"/>
          <w:sz w:val="24"/>
          <w:szCs w:val="24"/>
        </w:rPr>
        <w:t xml:space="preserve">AC2: Complexities and Diversities (430 words), organised by distance</w:t>
      </w:r>
    </w:p>
    <w:p>
      <w:pPr>
        <w:pStyle w:val="Heading3"/>
        <w:spacing w:after="80" w:before="140"/>
      </w:pPr>
      <w:r>
        <w:rPr>
          <w:rFonts w:ascii="Calibri" w:cs="Calibri" w:eastAsia="Calibri" w:hAnsi="Calibri"/>
          <w:b/>
          <w:bCs/>
          <w:sz w:val="22"/>
          <w:szCs w:val="22"/>
        </w:rPr>
        <w:t xml:space="preserve">2a. Administrative distance: politics, law and governance (100 words)</w:t>
      </w:r>
    </w:p>
    <w:p>
      <w:pPr>
        <w:pStyle w:val="ListParagraph"/>
        <w:numPr>
          <w:ilvl w:val="0"/>
          <w:numId w:val="2"/>
        </w:numPr>
        <w:spacing w:after="60"/>
      </w:pPr>
      <w:r>
        <w:rPr>
          <w:rFonts w:ascii="Calibri" w:cs="Calibri" w:eastAsia="Calibri" w:hAnsi="Calibri"/>
          <w:sz w:val="21"/>
          <w:szCs w:val="21"/>
        </w:rPr>
        <w:t xml:space="preserve">Governance: CPI 2025 of 34/100, rank 109 of 182, unchanged year on year; better than Bangladesh (24) and Pakistan (28), lower than Bhutan (71). Consequence: due diligence and compliance clauses with the licensee.</w:t>
      </w:r>
    </w:p>
    <w:p>
      <w:pPr>
        <w:pStyle w:val="ListParagraph"/>
        <w:numPr>
          <w:ilvl w:val="0"/>
          <w:numId w:val="2"/>
        </w:numPr>
        <w:spacing w:after="60"/>
      </w:pPr>
      <w:r>
        <w:rPr>
          <w:rFonts w:ascii="Calibri" w:cs="Calibri" w:eastAsia="Calibri" w:hAnsi="Calibri"/>
          <w:sz w:val="21"/>
          <w:szCs w:val="21"/>
        </w:rPr>
        <w:t xml:space="preserve">Political shock: the September 2025 Gen Z protests, an interim government, then the March 2026 election giving the RSP 182 of 275 seats. Double-edged: majority government may mean policy continuity, but business confidence fell and one estimate puts losses at over $700m (verify).</w:t>
      </w:r>
    </w:p>
    <w:p>
      <w:pPr>
        <w:pStyle w:val="ListParagraph"/>
        <w:numPr>
          <w:ilvl w:val="0"/>
          <w:numId w:val="2"/>
        </w:numPr>
        <w:spacing w:after="60"/>
      </w:pPr>
      <w:r>
        <w:rPr>
          <w:rFonts w:ascii="Calibri" w:cs="Calibri" w:eastAsia="Calibri" w:hAnsi="Calibri"/>
          <w:sz w:val="21"/>
          <w:szCs w:val="21"/>
        </w:rPr>
        <w:t xml:space="preserve">Legal: FITTA industrial-activity test and NRB approvals. State the consequence for entry timing.</w:t>
      </w:r>
    </w:p>
    <w:p>
      <w:pPr>
        <w:pStyle w:val="ListParagraph"/>
        <w:numPr>
          <w:ilvl w:val="0"/>
          <w:numId w:val="2"/>
        </w:numPr>
        <w:spacing w:after="60"/>
      </w:pPr>
      <w:r>
        <w:rPr>
          <w:rFonts w:ascii="Calibri" w:cs="Calibri" w:eastAsia="Calibri" w:hAnsi="Calibri"/>
          <w:sz w:val="21"/>
          <w:szCs w:val="21"/>
        </w:rPr>
        <w:t xml:space="preserve">LDC status: graduation scheduled for 24 November 2026, with deferral to 2029 requested in May 2026. Use only if relevant to trade or costs.</w:t>
      </w:r>
    </w:p>
    <w:p>
      <w:pPr>
        <w:pStyle w:val="Heading3"/>
        <w:spacing w:after="80" w:before="140"/>
      </w:pPr>
      <w:r>
        <w:rPr>
          <w:rFonts w:ascii="Calibri" w:cs="Calibri" w:eastAsia="Calibri" w:hAnsi="Calibri"/>
          <w:b/>
          <w:bCs/>
          <w:sz w:val="22"/>
          <w:szCs w:val="22"/>
        </w:rPr>
        <w:t xml:space="preserve">2b. Economic and geographic distance (110 words)</w:t>
      </w:r>
    </w:p>
    <w:p>
      <w:pPr>
        <w:pStyle w:val="ListParagraph"/>
        <w:numPr>
          <w:ilvl w:val="0"/>
          <w:numId w:val="2"/>
        </w:numPr>
        <w:spacing w:after="60"/>
      </w:pPr>
      <w:r>
        <w:rPr>
          <w:rFonts w:ascii="Calibri" w:cs="Calibri" w:eastAsia="Calibri" w:hAnsi="Calibri"/>
          <w:sz w:val="21"/>
          <w:szCs w:val="21"/>
        </w:rPr>
        <w:t xml:space="preserve">Demand base: consumption is about 90% of GDP and remittances grew 28.1% in USD in FY2025/26, so demand is remittance-supported and exposed to overseas labour-market shocks (Gulf and West Asia conflict risk cited by ADB).</w:t>
      </w:r>
    </w:p>
    <w:p>
      <w:pPr>
        <w:pStyle w:val="ListParagraph"/>
        <w:numPr>
          <w:ilvl w:val="0"/>
          <w:numId w:val="2"/>
        </w:numPr>
        <w:spacing w:after="60"/>
      </w:pPr>
      <w:r>
        <w:rPr>
          <w:rFonts w:ascii="Calibri" w:cs="Calibri" w:eastAsia="Calibri" w:hAnsi="Calibri"/>
          <w:sz w:val="21"/>
          <w:szCs w:val="21"/>
        </w:rPr>
        <w:t xml:space="preserve">Growth forecasts differ (NRB 3.85% for FY2025/26, ADB 2.7% for 2026, World Bank 2.3%); say so rather than choosing one silently.</w:t>
      </w:r>
    </w:p>
    <w:p>
      <w:pPr>
        <w:pStyle w:val="ListParagraph"/>
        <w:numPr>
          <w:ilvl w:val="0"/>
          <w:numId w:val="2"/>
        </w:numPr>
        <w:spacing w:after="60"/>
      </w:pPr>
      <w:r>
        <w:rPr>
          <w:rFonts w:ascii="Calibri" w:cs="Calibri" w:eastAsia="Calibri" w:hAnsi="Calibri"/>
          <w:sz w:val="21"/>
          <w:szCs w:val="21"/>
        </w:rPr>
        <w:t xml:space="preserve">Inflation: average 3.08% for the year but 5.14% end-period and wholesale prices up 8.47% (mid-2026), which squeezes imported-input costs.</w:t>
      </w:r>
    </w:p>
    <w:p>
      <w:pPr>
        <w:pStyle w:val="ListParagraph"/>
        <w:numPr>
          <w:ilvl w:val="0"/>
          <w:numId w:val="2"/>
        </w:numPr>
        <w:spacing w:after="60"/>
      </w:pPr>
      <w:r>
        <w:rPr>
          <w:rFonts w:ascii="Calibri" w:cs="Calibri" w:eastAsia="Calibri" w:hAnsi="Calibri"/>
          <w:sz w:val="21"/>
          <w:szCs w:val="21"/>
        </w:rPr>
        <w:t xml:space="preserve">Tourism as an economic exposure: foreign tourists spend about $33 a day, and foreign-exchange earnings from tourism rose 4.8% in 2025; protest-related shocks and global shocks hit this stream quickly. Tourism and remittances together make demand externally driven.</w:t>
      </w:r>
    </w:p>
    <w:p>
      <w:pPr>
        <w:pStyle w:val="ListParagraph"/>
        <w:numPr>
          <w:ilvl w:val="0"/>
          <w:numId w:val="2"/>
        </w:numPr>
        <w:spacing w:after="60"/>
      </w:pPr>
      <w:r>
        <w:rPr>
          <w:rFonts w:ascii="Calibri" w:cs="Calibri" w:eastAsia="Calibri" w:hAnsi="Calibri"/>
          <w:sz w:val="21"/>
          <w:szCs w:val="21"/>
        </w:rPr>
        <w:t xml:space="preserve">Geography: landlocked, with trade logistics tied to India (verify the exchange-rate peg and trade-share figures before citing). Tourist flows concentrate on Kathmandu, Pokhara, trekking corridors and Lumbini, which defines where a store can work.</w:t>
      </w:r>
    </w:p>
    <w:p>
      <w:pPr>
        <w:pStyle w:val="Heading3"/>
        <w:spacing w:after="80" w:before="140"/>
      </w:pPr>
      <w:r>
        <w:rPr>
          <w:rFonts w:ascii="Calibri" w:cs="Calibri" w:eastAsia="Calibri" w:hAnsi="Calibri"/>
          <w:b/>
          <w:bCs/>
          <w:sz w:val="22"/>
          <w:szCs w:val="22"/>
        </w:rPr>
        <w:t xml:space="preserve">2c. Cultural distance: Hofstede by management function (160 words)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2200"/>
        <w:gridCol w:w="5138"/>
      </w:tblGrid>
      <w:tr>
        <w:trPr>
          <w:tblHeader/>
        </w:trPr>
        <w:tc>
          <w:tcPr>
            <w:tcW w:type="dxa" w:w="2300"/>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r>
              <w:rPr>
                <w:rFonts w:ascii="Calibri" w:cs="Calibri" w:eastAsia="Calibri" w:hAnsi="Calibri"/>
                <w:b/>
                <w:bCs/>
                <w:color w:val="FFFFFF"/>
                <w:sz w:val="19"/>
                <w:szCs w:val="19"/>
              </w:rPr>
              <w:t xml:space="preserve">Function</w:t>
            </w:r>
          </w:p>
        </w:tc>
        <w:tc>
          <w:tcPr>
            <w:tcW w:type="dxa" w:w="2200"/>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r>
              <w:rPr>
                <w:rFonts w:ascii="Calibri" w:cs="Calibri" w:eastAsia="Calibri" w:hAnsi="Calibri"/>
                <w:b/>
                <w:bCs/>
                <w:color w:val="FFFFFF"/>
                <w:sz w:val="19"/>
                <w:szCs w:val="19"/>
              </w:rPr>
              <w:t xml:space="preserve">Dimensions</w:t>
            </w:r>
          </w:p>
        </w:tc>
        <w:tc>
          <w:tcPr>
            <w:tcW w:type="dxa" w:w="5138"/>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r>
              <w:rPr>
                <w:rFonts w:ascii="Calibri" w:cs="Calibri" w:eastAsia="Calibri" w:hAnsi="Calibri"/>
                <w:b/>
                <w:bCs/>
                <w:color w:val="FFFFFF"/>
                <w:sz w:val="19"/>
                <w:szCs w:val="19"/>
              </w:rPr>
              <w:t xml:space="preserve">Consequence to state</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Leadership and communication</w:t>
            </w:r>
          </w:p>
        </w:tc>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Power distance; individualism</w:t>
            </w:r>
          </w:p>
        </w:tc>
        <w:tc>
          <w:tcPr>
            <w:tcW w:type="dxa" w:w="513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Expect high power distance and collectivism (qualitative support: Nepali organisational studies, e.g. NABIL Bank case). Store managers need clear authority; the flat “partner” model must be adapted; recruitment through trusted networks.</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Marketing and consumer behaviour</w:t>
            </w:r>
          </w:p>
        </w:tc>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Masculinity; indulgence</w:t>
            </w:r>
          </w:p>
        </w:tc>
        <w:tc>
          <w:tcPr>
            <w:tcW w:type="dxa" w:w="513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Status and social display (verify); tea (chiya) culture and festival-linked gatherings (Dashain, Tihar): position as a social space and gifting occasion. Two customers, two offers: tourists want familiarity and wifi; local customers want social space and local flavours. Evidence needed before claiming scores.</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Risk and time horizon</w:t>
            </w:r>
          </w:p>
        </w:tc>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Uncertainty avoidance; long-term orientation</w:t>
            </w:r>
          </w:p>
        </w:tc>
        <w:tc>
          <w:tcPr>
            <w:tcW w:type="dxa" w:w="513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Hierarchy and seniors’ guidance reduce tolerance for ambiguous rules; quality standards must be explicit. Short-run price sensitivity versus Starbucks’ long-run sourcing narrative.</w:t>
            </w:r>
          </w:p>
        </w:tc>
      </w:tr>
    </w:tbl>
    <w:p>
      <w:pPr>
        <w:spacing w:after="80"/>
      </w:pPr>
    </w:p>
    <w:p>
      <w:pPr>
        <w:pStyle w:val="ListParagraph"/>
        <w:numPr>
          <w:ilvl w:val="0"/>
          <w:numId w:val="2"/>
        </w:numPr>
        <w:spacing w:after="60"/>
      </w:pPr>
      <w:r>
        <w:rPr>
          <w:rFonts w:ascii="Calibri" w:cs="Calibri" w:eastAsia="Calibri" w:hAnsi="Calibri"/>
          <w:sz w:val="21"/>
          <w:szCs w:val="21"/>
        </w:rPr>
        <w:t xml:space="preserve">Critical limitation (mandatory): I found no verified official Hofstede Insights scores for Nepal. Check Hofstede Insights directly. If Nepal is not listed, say so in one sentence, use the qualitative evidence, and avoid inventing numbers. Hofstede’s sample is dated and national averages hide Nepal’s many caste and ethnic groups.</w:t>
      </w:r>
    </w:p>
    <w:p>
      <w:pPr>
        <w:pStyle w:val="ListParagraph"/>
        <w:numPr>
          <w:ilvl w:val="0"/>
          <w:numId w:val="2"/>
        </w:numPr>
        <w:spacing w:after="60"/>
      </w:pPr>
      <w:r>
        <w:rPr>
          <w:rFonts w:ascii="Calibri" w:cs="Calibri" w:eastAsia="Calibri" w:hAnsi="Calibri"/>
          <w:sz w:val="21"/>
          <w:szCs w:val="21"/>
        </w:rPr>
        <w:t xml:space="preserve">Add Ghemawat’s cultural distance as the complementary lens, not a second table.</w:t>
      </w:r>
    </w:p>
    <w:p>
      <w:pPr>
        <w:pStyle w:val="Heading3"/>
        <w:spacing w:after="80" w:before="140"/>
      </w:pPr>
      <w:r>
        <w:rPr>
          <w:rFonts w:ascii="Calibri" w:cs="Calibri" w:eastAsia="Calibri" w:hAnsi="Calibri"/>
          <w:b/>
          <w:bCs/>
          <w:sz w:val="22"/>
          <w:szCs w:val="22"/>
        </w:rPr>
        <w:t xml:space="preserve">2d. Opportunities, challenges and reverse learning (60 words)</w:t>
      </w:r>
    </w:p>
    <w:p>
      <w:pPr>
        <w:pStyle w:val="ListParagraph"/>
        <w:numPr>
          <w:ilvl w:val="0"/>
          <w:numId w:val="2"/>
        </w:numPr>
        <w:spacing w:after="60"/>
      </w:pPr>
      <w:r>
        <w:rPr>
          <w:rFonts w:ascii="Calibri" w:cs="Calibri" w:eastAsia="Calibri" w:hAnsi="Calibri"/>
          <w:sz w:val="21"/>
          <w:szCs w:val="21"/>
        </w:rPr>
        <w:t xml:space="preserve">Opportunity: origin storytelling for tourists (“drink the coffee where it is grown”), specialty microlots (current exports go to Germany, Japan, Switzerland, South Korea, the UK and Australia), destination stores in Kathmandu and Pokhara.</w:t>
      </w:r>
    </w:p>
    <w:p>
      <w:pPr>
        <w:pStyle w:val="ListParagraph"/>
        <w:numPr>
          <w:ilvl w:val="0"/>
          <w:numId w:val="2"/>
        </w:numPr>
        <w:spacing w:after="60"/>
      </w:pPr>
      <w:r>
        <w:rPr>
          <w:rFonts w:ascii="Calibri" w:cs="Calibri" w:eastAsia="Calibri" w:hAnsi="Calibri"/>
          <w:sz w:val="21"/>
          <w:szCs w:val="21"/>
        </w:rPr>
        <w:t xml:space="preserve">Challenge: affordability, local competitors, informal coffee trade (over half of consumption through unofficial channels, per NTCDB survey).</w:t>
      </w:r>
    </w:p>
    <w:p>
      <w:pPr>
        <w:pStyle w:val="ListParagraph"/>
        <w:numPr>
          <w:ilvl w:val="0"/>
          <w:numId w:val="2"/>
        </w:numPr>
        <w:spacing w:after="60"/>
      </w:pPr>
      <w:r>
        <w:rPr>
          <w:rFonts w:ascii="Calibri" w:cs="Calibri" w:eastAsia="Calibri" w:hAnsi="Calibri"/>
          <w:sz w:val="21"/>
          <w:szCs w:val="21"/>
        </w:rPr>
        <w:t xml:space="preserve">Reverse learning: a small-farmer sourcing model for mountainous origins, a destination-store format for other tourist-dependent markets, and a licensing-plus-stage-gate playbook for small LDC markets (Laos, Nepal). One sentence linking to dynamic capabilities (Teece et al., 1997).</w:t>
      </w:r>
    </w:p>
    <w:p>
      <w:pPr>
        <w:pStyle w:val="Heading2"/>
        <w:spacing w:after="100" w:before="200"/>
      </w:pPr>
      <w:r>
        <w:rPr>
          <w:rFonts w:ascii="Calibri" w:cs="Calibri" w:eastAsia="Calibri" w:hAnsi="Calibri"/>
          <w:b/>
          <w:bCs/>
          <w:color w:val="2E5597"/>
          <w:sz w:val="24"/>
          <w:szCs w:val="24"/>
        </w:rPr>
        <w:t xml:space="preserve">Conclusion (50 words)</w:t>
      </w:r>
    </w:p>
    <w:p>
      <w:pPr>
        <w:pStyle w:val="ListParagraph"/>
        <w:numPr>
          <w:ilvl w:val="0"/>
          <w:numId w:val="2"/>
        </w:numPr>
        <w:spacing w:after="60"/>
      </w:pPr>
      <w:r>
        <w:rPr>
          <w:rFonts w:ascii="Calibri" w:cs="Calibri" w:eastAsia="Calibri" w:hAnsi="Calibri"/>
          <w:sz w:val="21"/>
          <w:szCs w:val="21"/>
        </w:rPr>
        <w:t xml:space="preserve">Restate: enter in stages, starting as a buyer, then one or two licensed flagship stores.</w:t>
      </w:r>
    </w:p>
    <w:p>
      <w:pPr>
        <w:pStyle w:val="ListParagraph"/>
        <w:numPr>
          <w:ilvl w:val="0"/>
          <w:numId w:val="2"/>
        </w:numPr>
        <w:spacing w:after="60"/>
      </w:pPr>
      <w:r>
        <w:rPr>
          <w:rFonts w:ascii="Calibri" w:cs="Calibri" w:eastAsia="Calibri" w:hAnsi="Calibri"/>
          <w:sz w:val="21"/>
          <w:szCs w:val="21"/>
        </w:rPr>
        <w:t xml:space="preserve">Answer the thesis: commitment follows resolved uncertainty (legal clarity, political stability, pilot performance).</w:t>
      </w:r>
    </w:p>
    <w:p>
      <w:pPr>
        <w:pStyle w:val="ListParagraph"/>
        <w:numPr>
          <w:ilvl w:val="0"/>
          <w:numId w:val="2"/>
        </w:numPr>
        <w:spacing w:after="60"/>
      </w:pPr>
      <w:r>
        <w:rPr>
          <w:rFonts w:ascii="Calibri" w:cs="Calibri" w:eastAsia="Calibri" w:hAnsi="Calibri"/>
          <w:sz w:val="21"/>
          <w:szCs w:val="21"/>
        </w:rPr>
        <w:t xml:space="preserve">One monitoring line: the stage-gate indicators (Appendix D).</w:t>
      </w:r>
    </w:p>
    <w:p>
      <w:pPr>
        <w:pStyle w:val="ListParagraph"/>
        <w:numPr>
          <w:ilvl w:val="0"/>
          <w:numId w:val="2"/>
        </w:numPr>
        <w:spacing w:after="60"/>
      </w:pPr>
      <w:r>
        <w:rPr>
          <w:rFonts w:ascii="Calibri" w:cs="Calibri" w:eastAsia="Calibri" w:hAnsi="Calibri"/>
          <w:sz w:val="21"/>
          <w:szCs w:val="21"/>
        </w:rPr>
        <w:t xml:space="preserve">No new evidence.</w:t>
      </w:r>
    </w:p>
    <w:p>
      <w:pPr>
        <w:pStyle w:val="Heading1"/>
        <w:spacing w:after="120" w:before="300"/>
      </w:pPr>
      <w:r>
        <w:rPr>
          <w:rFonts w:ascii="Calibri" w:cs="Calibri" w:eastAsia="Calibri" w:hAnsi="Calibri"/>
          <w:b/>
          <w:bCs/>
          <w:color w:val="1F3864"/>
          <w:sz w:val="30"/>
          <w:szCs w:val="30"/>
        </w:rPr>
        <w:t xml:space="preserve">6. Tourism perspective</w:t>
      </w:r>
    </w:p>
    <w:p>
      <w:pPr>
        <w:spacing w:after="100"/>
      </w:pPr>
      <w:r>
        <w:rPr>
          <w:rFonts w:ascii="Calibri" w:cs="Calibri" w:eastAsia="Calibri" w:hAnsi="Calibri"/>
          <w:sz w:val="21"/>
          <w:szCs w:val="21"/>
        </w:rPr>
        <w:t xml:space="preserve">Why it earns its place: foreign tourists are the demand segment most likely to know and seek the brand, they need no new brand education, and they concentrate in a few locations. But the evidence is mixed, so the report must treat tourism critically, not as proof of success.</w:t>
      </w:r>
    </w:p>
    <w:p>
      <w:pPr>
        <w:pStyle w:val="Heading3"/>
        <w:spacing w:after="80" w:before="140"/>
      </w:pPr>
      <w:r>
        <w:rPr>
          <w:rFonts w:ascii="Calibri" w:cs="Calibri" w:eastAsia="Calibri" w:hAnsi="Calibri"/>
          <w:b/>
          <w:bCs/>
          <w:sz w:val="22"/>
          <w:szCs w:val="22"/>
        </w:rPr>
        <w:t xml:space="preserve">Evidence available (all to be verified at source)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3600"/>
        <w:gridCol w:w="3338"/>
      </w:tblGrid>
      <w:tr>
        <w:trPr>
          <w:tblHeader/>
        </w:trPr>
        <w:tc>
          <w:tcPr>
            <w:tcW w:type="dxa" w:w="2700"/>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r>
              <w:rPr>
                <w:rFonts w:ascii="Calibri" w:cs="Calibri" w:eastAsia="Calibri" w:hAnsi="Calibri"/>
                <w:b/>
                <w:bCs/>
                <w:color w:val="FFFFFF"/>
                <w:sz w:val="19"/>
                <w:szCs w:val="19"/>
              </w:rPr>
              <w:t xml:space="preserve">Fact</w:t>
            </w:r>
          </w:p>
        </w:tc>
        <w:tc>
          <w:tcPr>
            <w:tcW w:type="dxa" w:w="3600"/>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r>
              <w:rPr>
                <w:rFonts w:ascii="Calibri" w:cs="Calibri" w:eastAsia="Calibri" w:hAnsi="Calibri"/>
                <w:b/>
                <w:bCs/>
                <w:color w:val="FFFFFF"/>
                <w:sz w:val="19"/>
                <w:szCs w:val="19"/>
              </w:rPr>
              <w:t xml:space="preserve">Finding</w:t>
            </w:r>
          </w:p>
        </w:tc>
        <w:tc>
          <w:tcPr>
            <w:tcW w:type="dxa" w:w="3338"/>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r>
              <w:rPr>
                <w:rFonts w:ascii="Calibri" w:cs="Calibri" w:eastAsia="Calibri" w:hAnsi="Calibri"/>
                <w:b/>
                <w:bCs/>
                <w:color w:val="FFFFFF"/>
                <w:sz w:val="19"/>
                <w:szCs w:val="19"/>
              </w:rPr>
              <w:t xml:space="preserve">Use in the argument</w:t>
            </w:r>
          </w:p>
        </w:tc>
      </w:tr>
      <w:tr>
        <w:trPr>
          <w:cantSplit/>
        </w:trPr>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Arrivals 2025</w:t>
            </w:r>
          </w:p>
        </w:tc>
        <w:tc>
          <w:tcPr>
            <w:tcW w:type="dxa" w:w="3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1,158,459 foreign tourists (+1% on 2024; 96.8% of 2019 level of 1,197,191)</w:t>
            </w:r>
          </w:p>
        </w:tc>
        <w:tc>
          <w:tcPr>
            <w:tcW w:type="dxa" w:w="333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Scale of the tourist niche; recovery incomplete</w:t>
            </w:r>
          </w:p>
        </w:tc>
      </w:tr>
      <w:tr>
        <w:trPr>
          <w:cantSplit/>
        </w:trPr>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Source markets</w:t>
            </w:r>
          </w:p>
        </w:tc>
        <w:tc>
          <w:tcPr>
            <w:tcW w:type="dxa" w:w="3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India about 25.2% (292,438); US, China, UK, Bangladesh follow (rankings for 3rd to 5th conflict between sources)</w:t>
            </w:r>
          </w:p>
        </w:tc>
        <w:tc>
          <w:tcPr>
            <w:tcW w:type="dxa" w:w="333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Segment the visitors: long-haul visitors vs Indian visitors with Starbucks access at home</w:t>
            </w:r>
          </w:p>
        </w:tc>
      </w:tr>
      <w:tr>
        <w:trPr>
          <w:cantSplit/>
        </w:trPr>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Seasonality and shocks</w:t>
            </w:r>
          </w:p>
        </w:tc>
        <w:tc>
          <w:tcPr>
            <w:tcW w:type="dxa" w:w="3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October peak 128,443; September 2025 fell 18.3% (protests); Indian arrivals down 8%</w:t>
            </w:r>
          </w:p>
        </w:tc>
        <w:tc>
          <w:tcPr>
            <w:tcW w:type="dxa" w:w="333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Volatility: why phase 1 avoids retail commitment</w:t>
            </w:r>
          </w:p>
        </w:tc>
      </w:tr>
      <w:tr>
        <w:trPr>
          <w:cantSplit/>
        </w:trPr>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Length of stay</w:t>
            </w:r>
          </w:p>
        </w:tc>
        <w:tc>
          <w:tcPr>
            <w:tcW w:type="dxa" w:w="3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Record 16.34 days in 2025 (13.30 in 2024); data method changed in 2025</w:t>
            </w:r>
          </w:p>
        </w:tc>
        <w:tc>
          <w:tcPr>
            <w:tcW w:type="dxa" w:w="333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More café occasions per visitor; compare cautiously with earlier years</w:t>
            </w:r>
          </w:p>
        </w:tc>
      </w:tr>
      <w:tr>
        <w:trPr>
          <w:cantSplit/>
        </w:trPr>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Spend</w:t>
            </w:r>
          </w:p>
        </w:tc>
        <w:tc>
          <w:tcPr>
            <w:tcW w:type="dxa" w:w="3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About $33 a day in 2025 (from $40.84 in 2024); regional range cited at $100–150</w:t>
            </w:r>
          </w:p>
        </w:tc>
        <w:tc>
          <w:tcPr>
            <w:tcW w:type="dxa" w:w="333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The key critical point: long stays, low spend, so a premium price point reaches a narrow slice</w:t>
            </w:r>
          </w:p>
        </w:tc>
      </w:tr>
      <w:tr>
        <w:trPr>
          <w:cantSplit/>
        </w:trPr>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Air gateway</w:t>
            </w:r>
          </w:p>
        </w:tc>
        <w:tc>
          <w:tcPr>
            <w:tcW w:type="dxa" w:w="3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Kathmandu airport about 5.25m international and 4.53m domestic passengers in 2025</w:t>
            </w:r>
          </w:p>
        </w:tc>
        <w:tc>
          <w:tcPr>
            <w:tcW w:type="dxa" w:w="333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Airport and arrivals-hall format is a candidate site; mixes tourists, returning workers and students</w:t>
            </w:r>
          </w:p>
        </w:tc>
      </w:tr>
    </w:tbl>
    <w:p>
      <w:pPr>
        <w:spacing w:after="80"/>
      </w:pPr>
    </w:p>
    <w:p>
      <w:pPr>
        <w:pStyle w:val="Heading3"/>
        <w:spacing w:after="80" w:before="140"/>
      </w:pPr>
      <w:r>
        <w:rPr>
          <w:rFonts w:ascii="Calibri" w:cs="Calibri" w:eastAsia="Calibri" w:hAnsi="Calibri"/>
          <w:b/>
          <w:bCs/>
          <w:sz w:val="22"/>
          <w:szCs w:val="22"/>
        </w:rPr>
        <w:t xml:space="preserve">Tourist segments and what Starbucks should do about each (hypotheses to test)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838"/>
      </w:tblGrid>
      <w:tr>
        <w:trPr>
          <w:tblHeader/>
        </w:trPr>
        <w:tc>
          <w:tcPr>
            <w:tcW w:type="dxa" w:w="2200"/>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r>
              <w:rPr>
                <w:rFonts w:ascii="Calibri" w:cs="Calibri" w:eastAsia="Calibri" w:hAnsi="Calibri"/>
                <w:b/>
                <w:bCs/>
                <w:color w:val="FFFFFF"/>
                <w:sz w:val="19"/>
                <w:szCs w:val="19"/>
              </w:rPr>
              <w:t xml:space="preserve">Segment</w:t>
            </w:r>
          </w:p>
        </w:tc>
        <w:tc>
          <w:tcPr>
            <w:tcW w:type="dxa" w:w="3600"/>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r>
              <w:rPr>
                <w:rFonts w:ascii="Calibri" w:cs="Calibri" w:eastAsia="Calibri" w:hAnsi="Calibri"/>
                <w:b/>
                <w:bCs/>
                <w:color w:val="FFFFFF"/>
                <w:sz w:val="19"/>
                <w:szCs w:val="19"/>
              </w:rPr>
              <w:t xml:space="preserve">Likely behaviour (hypothesis, needs evidence)</w:t>
            </w:r>
          </w:p>
        </w:tc>
        <w:tc>
          <w:tcPr>
            <w:tcW w:type="dxa" w:w="3838"/>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r>
              <w:rPr>
                <w:rFonts w:ascii="Calibri" w:cs="Calibri" w:eastAsia="Calibri" w:hAnsi="Calibri"/>
                <w:b/>
                <w:bCs/>
                <w:color w:val="FFFFFF"/>
                <w:sz w:val="19"/>
                <w:szCs w:val="19"/>
              </w:rPr>
              <w:t xml:space="preserve">Implication</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Long-haul leisure (US, UK, Europe)</w:t>
            </w:r>
          </w:p>
        </w:tc>
        <w:tc>
          <w:tcPr>
            <w:tcW w:type="dxa" w:w="3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Familiar-brand seekers after long travel; higher willingness to pay</w:t>
            </w:r>
          </w:p>
        </w:tc>
        <w:tc>
          <w:tcPr>
            <w:tcW w:type="dxa" w:w="383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Primary target; destination stores in Thamel/Kathmandu and Pokhara</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Indian visitors (largest group)</w:t>
            </w:r>
          </w:p>
        </w:tc>
        <w:tc>
          <w:tcPr>
            <w:tcW w:type="dxa" w:w="3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Already have access to Starbucks at home (verify); may prefer local or value options</w:t>
            </w:r>
          </w:p>
        </w:tc>
        <w:tc>
          <w:tcPr>
            <w:tcW w:type="dxa" w:w="383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Do not rely on this segment for premium demand</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Trekkers and budget travellers</w:t>
            </w:r>
          </w:p>
        </w:tc>
        <w:tc>
          <w:tcPr>
            <w:tcW w:type="dxa" w:w="3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Long stays, low daily spend; strong local-cafe culture</w:t>
            </w:r>
          </w:p>
        </w:tc>
        <w:tc>
          <w:tcPr>
            <w:tcW w:type="dxa" w:w="383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Weak target; use origin storytelling and low-price items only if at all</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Business, NGO and returning diaspora</w:t>
            </w:r>
          </w:p>
        </w:tc>
        <w:tc>
          <w:tcPr>
            <w:tcW w:type="dxa" w:w="3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Frequent, repeat, brand-aware</w:t>
            </w:r>
          </w:p>
        </w:tc>
        <w:tc>
          <w:tcPr>
            <w:tcW w:type="dxa" w:w="383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Airport, hotel and office-district sites; steadier than leisure tourists</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Pilgrims (Lumbini)</w:t>
            </w:r>
          </w:p>
        </w:tc>
        <w:tc>
          <w:tcPr>
            <w:tcW w:type="dxa" w:w="3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Group travel; limited evidence</w:t>
            </w:r>
          </w:p>
        </w:tc>
        <w:tc>
          <w:tcPr>
            <w:tcW w:type="dxa" w:w="383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Low priority; verify before including</w:t>
            </w:r>
          </w:p>
        </w:tc>
      </w:tr>
    </w:tbl>
    <w:p>
      <w:pPr>
        <w:spacing w:after="80"/>
      </w:pPr>
    </w:p>
    <w:p>
      <w:pPr>
        <w:pStyle w:val="Heading3"/>
        <w:spacing w:after="80" w:before="140"/>
      </w:pPr>
      <w:r>
        <w:rPr>
          <w:rFonts w:ascii="Calibri" w:cs="Calibri" w:eastAsia="Calibri" w:hAnsi="Calibri"/>
          <w:b/>
          <w:bCs/>
          <w:sz w:val="22"/>
          <w:szCs w:val="22"/>
        </w:rPr>
        <w:t xml:space="preserve">How to use tourism in each part of the report</w:t>
      </w:r>
    </w:p>
    <w:p>
      <w:pPr>
        <w:pStyle w:val="ListParagraph"/>
        <w:numPr>
          <w:ilvl w:val="0"/>
          <w:numId w:val="2"/>
        </w:numPr>
        <w:spacing w:after="60"/>
      </w:pPr>
      <w:r>
        <w:rPr>
          <w:rFonts w:ascii="Calibri" w:cs="Calibri" w:eastAsia="Calibri" w:hAnsi="Calibri"/>
          <w:sz w:val="21"/>
          <w:szCs w:val="21"/>
        </w:rPr>
        <w:t xml:space="preserve">AC1 1a: tourism as part of the strategic option value, not market size.</w:t>
      </w:r>
    </w:p>
    <w:p>
      <w:pPr>
        <w:pStyle w:val="ListParagraph"/>
        <w:numPr>
          <w:ilvl w:val="0"/>
          <w:numId w:val="2"/>
        </w:numPr>
        <w:spacing w:after="60"/>
      </w:pPr>
      <w:r>
        <w:rPr>
          <w:rFonts w:ascii="Calibri" w:cs="Calibri" w:eastAsia="Calibri" w:hAnsi="Calibri"/>
          <w:sz w:val="21"/>
          <w:szCs w:val="21"/>
        </w:rPr>
        <w:t xml:space="preserve">AC1 1c (OLI): tourists as a location advantage that lowers the liability of foreignness; limits: low spend, volatility, Indian-visitor overlap.</w:t>
      </w:r>
    </w:p>
    <w:p>
      <w:pPr>
        <w:pStyle w:val="ListParagraph"/>
        <w:numPr>
          <w:ilvl w:val="0"/>
          <w:numId w:val="2"/>
        </w:numPr>
        <w:spacing w:after="60"/>
      </w:pPr>
      <w:r>
        <w:rPr>
          <w:rFonts w:ascii="Calibri" w:cs="Calibri" w:eastAsia="Calibri" w:hAnsi="Calibri"/>
          <w:sz w:val="21"/>
          <w:szCs w:val="21"/>
        </w:rPr>
        <w:t xml:space="preserve">AC2 2b: tourism and remittances as external-demand exposures; cyclical risk.</w:t>
      </w:r>
    </w:p>
    <w:p>
      <w:pPr>
        <w:pStyle w:val="ListParagraph"/>
        <w:numPr>
          <w:ilvl w:val="0"/>
          <w:numId w:val="2"/>
        </w:numPr>
        <w:spacing w:after="60"/>
      </w:pPr>
      <w:r>
        <w:rPr>
          <w:rFonts w:ascii="Calibri" w:cs="Calibri" w:eastAsia="Calibri" w:hAnsi="Calibri"/>
          <w:sz w:val="21"/>
          <w:szCs w:val="21"/>
        </w:rPr>
        <w:t xml:space="preserve">AC2 2c: two customers, two offers (tourists: familiarity; locals: social space).</w:t>
      </w:r>
    </w:p>
    <w:p>
      <w:pPr>
        <w:pStyle w:val="ListParagraph"/>
        <w:numPr>
          <w:ilvl w:val="0"/>
          <w:numId w:val="2"/>
        </w:numPr>
        <w:spacing w:after="60"/>
      </w:pPr>
      <w:r>
        <w:rPr>
          <w:rFonts w:ascii="Calibri" w:cs="Calibri" w:eastAsia="Calibri" w:hAnsi="Calibri"/>
          <w:sz w:val="21"/>
          <w:szCs w:val="21"/>
        </w:rPr>
        <w:t xml:space="preserve">AC2 2d and conclusion: destination-store format as reverse learning; tourism indicators as stage-gate triggers.</w:t>
      </w:r>
    </w:p>
    <w:p>
      <w:pPr>
        <w:pStyle w:val="ListParagraph"/>
        <w:numPr>
          <w:ilvl w:val="0"/>
          <w:numId w:val="2"/>
        </w:numPr>
        <w:spacing w:after="60"/>
      </w:pPr>
      <w:r>
        <w:rPr>
          <w:rFonts w:ascii="Calibri" w:cs="Calibri" w:eastAsia="Calibri" w:hAnsi="Calibri"/>
          <w:sz w:val="21"/>
          <w:szCs w:val="21"/>
        </w:rPr>
        <w:t xml:space="preserve">Appendix: tourist segment table and a chart of monthly arrivals showing seasonality and the September 2025 shock.</w:t>
      </w:r>
    </w:p>
    <w:p>
      <w:pPr>
        <w:spacing w:after="100"/>
        <w:rPr>
          <w:i/>
          <w:iCs/>
        </w:rPr>
      </w:pPr>
      <w:r>
        <w:rPr>
          <w:rFonts w:ascii="Calibri" w:cs="Calibri" w:eastAsia="Calibri" w:hAnsi="Calibri"/>
          <w:i/>
          <w:iCs/>
          <w:sz w:val="21"/>
          <w:szCs w:val="21"/>
        </w:rPr>
        <w:t xml:space="preserve">Evidence caution: I found no data on tourists’ actual coffee-chain preferences in Nepal. State the segment logic as a reasoned hypothesis and say what survey or visitor data would confirm it.</w:t>
      </w:r>
    </w:p>
    <w:p>
      <w:pPr>
        <w:pStyle w:val="Heading1"/>
        <w:spacing w:after="120" w:before="300"/>
      </w:pPr>
      <w:r>
        <w:rPr>
          <w:rFonts w:ascii="Calibri" w:cs="Calibri" w:eastAsia="Calibri" w:hAnsi="Calibri"/>
          <w:b/>
          <w:bCs/>
          <w:color w:val="1F3864"/>
          <w:sz w:val="30"/>
          <w:szCs w:val="30"/>
        </w:rPr>
        <w:t xml:space="preserve">7. Visuals and appendices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1700"/>
        <w:gridCol w:w="5238"/>
      </w:tblGrid>
      <w:tr>
        <w:trPr>
          <w:tblHeader/>
        </w:trPr>
        <w:tc>
          <w:tcPr>
            <w:tcW w:type="dxa" w:w="2700"/>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r>
              <w:rPr>
                <w:rFonts w:ascii="Calibri" w:cs="Calibri" w:eastAsia="Calibri" w:hAnsi="Calibri"/>
                <w:b/>
                <w:bCs/>
                <w:color w:val="FFFFFF"/>
                <w:sz w:val="19"/>
                <w:szCs w:val="19"/>
              </w:rPr>
              <w:t xml:space="preserve">Item</w:t>
            </w:r>
          </w:p>
        </w:tc>
        <w:tc>
          <w:tcPr>
            <w:tcW w:type="dxa" w:w="1700"/>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r>
              <w:rPr>
                <w:rFonts w:ascii="Calibri" w:cs="Calibri" w:eastAsia="Calibri" w:hAnsi="Calibri"/>
                <w:b/>
                <w:bCs/>
                <w:color w:val="FFFFFF"/>
                <w:sz w:val="19"/>
                <w:szCs w:val="19"/>
              </w:rPr>
              <w:t xml:space="preserve">Location</w:t>
            </w:r>
          </w:p>
        </w:tc>
        <w:tc>
          <w:tcPr>
            <w:tcW w:type="dxa" w:w="5238"/>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r>
              <w:rPr>
                <w:rFonts w:ascii="Calibri" w:cs="Calibri" w:eastAsia="Calibri" w:hAnsi="Calibri"/>
                <w:b/>
                <w:bCs/>
                <w:color w:val="FFFFFF"/>
                <w:sz w:val="19"/>
                <w:szCs w:val="19"/>
              </w:rPr>
              <w:t xml:space="preserve">Purpose and notes</w:t>
            </w:r>
          </w:p>
        </w:tc>
      </w:tr>
      <w:tr>
        <w:trPr>
          <w:cantSplit/>
        </w:trPr>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Figure 1: Nepal coffee paradox (bar chart: production, imports, exports, estimated consumption)</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Body (1b)</w:t>
            </w:r>
          </w:p>
        </w:tc>
        <w:tc>
          <w:tcPr>
            <w:tcW w:type="dxa" w:w="523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Makes the sourcing logic visible in one glance. Needs a caption, source and a clear fiscal-year label because sources give different years.</w:t>
            </w:r>
          </w:p>
        </w:tc>
      </w:tr>
      <w:tr>
        <w:trPr>
          <w:cantSplit/>
        </w:trPr>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Figure 2: Monthly foreign tourist arrivals 2025 with the September protest shock, plus spend per day 2024 vs 2025</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Body or Appendix</w:t>
            </w:r>
          </w:p>
        </w:tc>
        <w:tc>
          <w:tcPr>
            <w:tcW w:type="dxa" w:w="523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Shows volatility and the low-spend point. Put in the body only if space and word count allow.</w:t>
            </w:r>
          </w:p>
        </w:tc>
      </w:tr>
      <w:tr>
        <w:trPr>
          <w:cantSplit/>
        </w:trPr>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Table 1: Resource transferability (non-location-bound vs location-bound)</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Body or Appendix B</w:t>
            </w:r>
          </w:p>
        </w:tc>
        <w:tc>
          <w:tcPr>
            <w:tcW w:type="dxa" w:w="523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Only in the body if word-count rules allow.</w:t>
            </w:r>
          </w:p>
        </w:tc>
      </w:tr>
      <w:tr>
        <w:trPr>
          <w:cantSplit/>
        </w:trPr>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Appendix A: country scoring and the Starbucks-presence check</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Appendix</w:t>
            </w:r>
          </w:p>
        </w:tc>
        <w:tc>
          <w:tcPr>
            <w:tcW w:type="dxa" w:w="523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Nepal vs 2–3 verified comparators; show weights.</w:t>
            </w:r>
          </w:p>
        </w:tc>
      </w:tr>
      <w:tr>
        <w:trPr>
          <w:cantSplit/>
        </w:trPr>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Appendix B: CAGE summary table</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Appendix</w:t>
            </w:r>
          </w:p>
        </w:tc>
        <w:tc>
          <w:tcPr>
            <w:tcW w:type="dxa" w:w="523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One row per distance type with evidence and consequence.</w:t>
            </w:r>
          </w:p>
        </w:tc>
      </w:tr>
      <w:tr>
        <w:trPr>
          <w:cantSplit/>
        </w:trPr>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Appendix C: Nepal data pack</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Appendix</w:t>
            </w:r>
          </w:p>
        </w:tc>
        <w:tc>
          <w:tcPr>
            <w:tcW w:type="dxa" w:w="523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All indicators with sources and dates.</w:t>
            </w:r>
          </w:p>
        </w:tc>
      </w:tr>
      <w:tr>
        <w:trPr>
          <w:cantSplit/>
        </w:trPr>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Appendix D: stage-gate roadmap (Gantt)</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Appendix</w:t>
            </w:r>
          </w:p>
        </w:tc>
        <w:tc>
          <w:tcPr>
            <w:tcW w:type="dxa" w:w="523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Three phases with trigger metrics (below).</w:t>
            </w:r>
          </w:p>
        </w:tc>
      </w:tr>
    </w:tbl>
    <w:p>
      <w:pPr>
        <w:spacing w:after="80"/>
      </w:pPr>
    </w:p>
    <w:p>
      <w:pPr>
        <w:pStyle w:val="Heading3"/>
        <w:spacing w:after="80" w:before="140"/>
      </w:pPr>
      <w:r>
        <w:rPr>
          <w:rFonts w:ascii="Calibri" w:cs="Calibri" w:eastAsia="Calibri" w:hAnsi="Calibri"/>
          <w:b/>
          <w:bCs/>
          <w:sz w:val="22"/>
          <w:szCs w:val="22"/>
        </w:rPr>
        <w:t xml:space="preserve">Appendix D: stage-gate design (a Gantt with decision rules)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2300"/>
        <w:gridCol w:w="3000"/>
        <w:gridCol w:w="2538"/>
      </w:tblGrid>
      <w:tr>
        <w:trPr>
          <w:tblHeader/>
        </w:trPr>
        <w:tc>
          <w:tcPr>
            <w:tcW w:type="dxa" w:w="1800"/>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r>
              <w:rPr>
                <w:rFonts w:ascii="Calibri" w:cs="Calibri" w:eastAsia="Calibri" w:hAnsi="Calibri"/>
                <w:b/>
                <w:bCs/>
                <w:color w:val="FFFFFF"/>
                <w:sz w:val="19"/>
                <w:szCs w:val="19"/>
              </w:rPr>
              <w:t xml:space="preserve">Phase</w:t>
            </w:r>
          </w:p>
        </w:tc>
        <w:tc>
          <w:tcPr>
            <w:tcW w:type="dxa" w:w="2300"/>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r>
              <w:rPr>
                <w:rFonts w:ascii="Calibri" w:cs="Calibri" w:eastAsia="Calibri" w:hAnsi="Calibri"/>
                <w:b/>
                <w:bCs/>
                <w:color w:val="FFFFFF"/>
                <w:sz w:val="19"/>
                <w:szCs w:val="19"/>
              </w:rPr>
              <w:t xml:space="preserve">Timing (indicative)</w:t>
            </w:r>
          </w:p>
        </w:tc>
        <w:tc>
          <w:tcPr>
            <w:tcW w:type="dxa" w:w="3000"/>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r>
              <w:rPr>
                <w:rFonts w:ascii="Calibri" w:cs="Calibri" w:eastAsia="Calibri" w:hAnsi="Calibri"/>
                <w:b/>
                <w:bCs/>
                <w:color w:val="FFFFFF"/>
                <w:sz w:val="19"/>
                <w:szCs w:val="19"/>
              </w:rPr>
              <w:t xml:space="preserve">Activities</w:t>
            </w:r>
          </w:p>
        </w:tc>
        <w:tc>
          <w:tcPr>
            <w:tcW w:type="dxa" w:w="2538"/>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r>
              <w:rPr>
                <w:rFonts w:ascii="Calibri" w:cs="Calibri" w:eastAsia="Calibri" w:hAnsi="Calibri"/>
                <w:b/>
                <w:bCs/>
                <w:color w:val="FFFFFF"/>
                <w:sz w:val="19"/>
                <w:szCs w:val="19"/>
              </w:rPr>
              <w:t xml:space="preserve">Gate (go/no-go)</w:t>
            </w:r>
          </w:p>
        </w:tc>
      </w:tr>
      <w:tr>
        <w:trPr>
          <w:cantSplit/>
        </w:trPr>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1. Buyer</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Months 0–12</w:t>
            </w:r>
          </w:p>
        </w:tc>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Farmer partnerships, quality audits, sourcing of Himalayan arabica; no retail commitment</w:t>
            </w:r>
          </w:p>
        </w:tc>
        <w:tc>
          <w:tcPr>
            <w:tcW w:type="dxa" w:w="253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Legal opinion on FITTA and NRB royalty repatriation; supplier quality benchmarks met; tourism recovery confirmed (annual arrivals at or above the 2019 level, spend per day stable or rising)</w:t>
            </w:r>
          </w:p>
        </w:tc>
      </w:tr>
      <w:tr>
        <w:trPr>
          <w:cantSplit/>
        </w:trPr>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2. Licensed pilot</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Months 12–30</w:t>
            </w:r>
          </w:p>
        </w:tc>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Select licensee; 1–2 flagship stores (Kathmandu, Pokhara)</w:t>
            </w:r>
          </w:p>
        </w:tc>
        <w:tc>
          <w:tcPr>
            <w:tcW w:type="dxa" w:w="253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Pilot store performance thresholds (to be defined); tourist vs local sales mix; political and FX stability review</w:t>
            </w:r>
          </w:p>
        </w:tc>
      </w:tr>
      <w:tr>
        <w:trPr>
          <w:cantSplit/>
        </w:trPr>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3. Conditional scale</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Month 30 onwards</w:t>
            </w:r>
          </w:p>
        </w:tc>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Extend within Kathmandu valley and tourist corridors</w:t>
            </w:r>
          </w:p>
        </w:tc>
        <w:tc>
          <w:tcPr>
            <w:tcW w:type="dxa" w:w="253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Licensee quality scores; unit economics; macro conditions</w:t>
            </w:r>
          </w:p>
        </w:tc>
      </w:tr>
    </w:tbl>
    <w:p>
      <w:pPr>
        <w:spacing w:after="100"/>
        <w:rPr>
          <w:i/>
          <w:iCs/>
        </w:rPr>
      </w:pPr>
      <w:r>
        <w:rPr>
          <w:rFonts w:ascii="Calibri" w:cs="Calibri" w:eastAsia="Calibri" w:hAnsi="Calibri"/>
          <w:i/>
          <w:iCs/>
          <w:sz w:val="21"/>
          <w:szCs w:val="21"/>
        </w:rPr>
        <w:t xml:space="preserve">Define numeric thresholds only where you can justify them; the rubric rewards a clear decision logic more than invented numbers.</w:t>
      </w:r>
    </w:p>
    <w:p>
      <w:pPr>
        <w:pStyle w:val="Heading1"/>
        <w:spacing w:after="120" w:before="300"/>
      </w:pPr>
      <w:r>
        <w:rPr>
          <w:rFonts w:ascii="Calibri" w:cs="Calibri" w:eastAsia="Calibri" w:hAnsi="Calibri"/>
          <w:b/>
          <w:bCs/>
          <w:color w:val="1F3864"/>
          <w:sz w:val="30"/>
          <w:szCs w:val="30"/>
        </w:rPr>
        <w:t xml:space="preserve">8. Data pack</w:t>
      </w:r>
    </w:p>
    <w:p>
      <w:pPr>
        <w:spacing w:after="100"/>
      </w:pPr>
      <w:r>
        <w:rPr>
          <w:rFonts w:ascii="Calibri" w:cs="Calibri" w:eastAsia="Calibri" w:hAnsi="Calibri"/>
          <w:sz w:val="21"/>
          <w:szCs w:val="21"/>
        </w:rPr>
        <w:t xml:space="preserve">Status: OK = found in a source; CHECK = weak, conflicting or missing. Never quote a figure whose source you have not opened.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800"/>
        <w:gridCol w:w="3038"/>
      </w:tblGrid>
      <w:tr>
        <w:trPr>
          <w:tblHeader/>
        </w:trPr>
        <w:tc>
          <w:tcPr>
            <w:tcW w:type="dxa" w:w="2000"/>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r>
              <w:rPr>
                <w:rFonts w:ascii="Calibri" w:cs="Calibri" w:eastAsia="Calibri" w:hAnsi="Calibri"/>
                <w:b/>
                <w:bCs/>
                <w:color w:val="FFFFFF"/>
                <w:sz w:val="19"/>
                <w:szCs w:val="19"/>
              </w:rPr>
              <w:t xml:space="preserve">Indicator</w:t>
            </w:r>
          </w:p>
        </w:tc>
        <w:tc>
          <w:tcPr>
            <w:tcW w:type="dxa" w:w="3800"/>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r>
              <w:rPr>
                <w:rFonts w:ascii="Calibri" w:cs="Calibri" w:eastAsia="Calibri" w:hAnsi="Calibri"/>
                <w:b/>
                <w:bCs/>
                <w:color w:val="FFFFFF"/>
                <w:sz w:val="19"/>
                <w:szCs w:val="19"/>
              </w:rPr>
              <w:t xml:space="preserve">Finding</w:t>
            </w:r>
          </w:p>
        </w:tc>
        <w:tc>
          <w:tcPr>
            <w:tcW w:type="dxa" w:w="800"/>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r>
              <w:rPr>
                <w:rFonts w:ascii="Calibri" w:cs="Calibri" w:eastAsia="Calibri" w:hAnsi="Calibri"/>
                <w:b/>
                <w:bCs/>
                <w:color w:val="FFFFFF"/>
                <w:sz w:val="19"/>
                <w:szCs w:val="19"/>
              </w:rPr>
              <w:t xml:space="preserve">Status</w:t>
            </w:r>
          </w:p>
        </w:tc>
        <w:tc>
          <w:tcPr>
            <w:tcW w:type="dxa" w:w="3038"/>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r>
              <w:rPr>
                <w:rFonts w:ascii="Calibri" w:cs="Calibri" w:eastAsia="Calibri" w:hAnsi="Calibri"/>
                <w:b/>
                <w:bCs/>
                <w:color w:val="FFFFFF"/>
                <w:sz w:val="19"/>
                <w:szCs w:val="19"/>
              </w:rPr>
              <w:t xml:space="preserve">Source / note</w:t>
            </w:r>
          </w:p>
        </w:tc>
      </w:tr>
      <w:tr>
        <w:trPr>
          <w:cantSplit/>
        </w:trPr>
        <w:tc>
          <w:tcPr>
            <w:tcW w:type="dxa" w:w="2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CPI 2025</w:t>
            </w:r>
          </w:p>
        </w:tc>
        <w:tc>
          <w:tcPr>
            <w:tcW w:type="dxa" w:w="3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34/100, rank 109 of 182 (2024: rank 107). Regional: Bhutan 71, Sri Lanka 35, Pakistan 28, Bangladesh 24</w:t>
            </w:r>
          </w:p>
        </w:tc>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OK</w:t>
            </w:r>
          </w:p>
        </w:tc>
        <w:tc>
          <w:tcPr>
            <w:tcW w:type="dxa" w:w="303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Himal Press; B360 Nepal. Country count reported as 180 or 182 in places</w:t>
            </w:r>
          </w:p>
        </w:tc>
      </w:tr>
      <w:tr>
        <w:trPr>
          <w:cantSplit/>
        </w:trPr>
        <w:tc>
          <w:tcPr>
            <w:tcW w:type="dxa" w:w="2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Growth</w:t>
            </w:r>
          </w:p>
        </w:tc>
        <w:tc>
          <w:tcPr>
            <w:tcW w:type="dxa" w:w="3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NRB: 3.85% for FY2025/26; ADB: 2.7% for 2026; World Bank: 2.3% for 2026</w:t>
            </w:r>
          </w:p>
        </w:tc>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CHECK</w:t>
            </w:r>
          </w:p>
        </w:tc>
        <w:tc>
          <w:tcPr>
            <w:tcW w:type="dxa" w:w="303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Estimates conflict; state the range</w:t>
            </w:r>
          </w:p>
        </w:tc>
      </w:tr>
      <w:tr>
        <w:trPr>
          <w:cantSplit/>
        </w:trPr>
        <w:tc>
          <w:tcPr>
            <w:tcW w:type="dxa" w:w="2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Inflation</w:t>
            </w:r>
          </w:p>
        </w:tc>
        <w:tc>
          <w:tcPr>
            <w:tcW w:type="dxa" w:w="3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CPI average 3.08% (FY2025/26); 5.14% mid-July 2026; wholesale 8.47% mid-June 2026</w:t>
            </w:r>
          </w:p>
        </w:tc>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OK</w:t>
            </w:r>
          </w:p>
        </w:tc>
        <w:tc>
          <w:tcPr>
            <w:tcW w:type="dxa" w:w="303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NRB / Economic Survey</w:t>
            </w:r>
          </w:p>
        </w:tc>
      </w:tr>
      <w:tr>
        <w:trPr>
          <w:cantSplit/>
        </w:trPr>
        <w:tc>
          <w:tcPr>
            <w:tcW w:type="dxa" w:w="2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Remittances</w:t>
            </w:r>
          </w:p>
        </w:tc>
        <w:tc>
          <w:tcPr>
            <w:tcW w:type="dxa" w:w="3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+28.1% (USD), +37.1% (NPR) in FY2025/26; remittance share of GDP not found</w:t>
            </w:r>
          </w:p>
        </w:tc>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CHECK</w:t>
            </w:r>
          </w:p>
        </w:tc>
        <w:tc>
          <w:tcPr>
            <w:tcW w:type="dxa" w:w="303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NRB; find the GDP share from World Bank</w:t>
            </w:r>
          </w:p>
        </w:tc>
      </w:tr>
      <w:tr>
        <w:trPr>
          <w:cantSplit/>
        </w:trPr>
        <w:tc>
          <w:tcPr>
            <w:tcW w:type="dxa" w:w="2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Income</w:t>
            </w:r>
          </w:p>
        </w:tc>
        <w:tc>
          <w:tcPr>
            <w:tcW w:type="dxa" w:w="3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GDP per capita about $1,513; consumption 90.3% of GDP</w:t>
            </w:r>
          </w:p>
        </w:tc>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OK</w:t>
            </w:r>
          </w:p>
        </w:tc>
        <w:tc>
          <w:tcPr>
            <w:tcW w:type="dxa" w:w="303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Economic Survey 2025/26</w:t>
            </w:r>
          </w:p>
        </w:tc>
      </w:tr>
      <w:tr>
        <w:trPr>
          <w:cantSplit/>
        </w:trPr>
        <w:tc>
          <w:tcPr>
            <w:tcW w:type="dxa" w:w="2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LDC status</w:t>
            </w:r>
          </w:p>
        </w:tc>
        <w:tc>
          <w:tcPr>
            <w:tcW w:type="dxa" w:w="3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GNI per capita $1,300 vs $1,306 threshold; graduation scheduled 24 Nov 2026; deferral to Nov 2029 requested 13 May 2026</w:t>
            </w:r>
          </w:p>
        </w:tc>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OK</w:t>
            </w:r>
          </w:p>
        </w:tc>
        <w:tc>
          <w:tcPr>
            <w:tcW w:type="dxa" w:w="303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UN DESA profile; Kathmandu Post. Check final decision</w:t>
            </w:r>
          </w:p>
        </w:tc>
      </w:tr>
      <w:tr>
        <w:trPr>
          <w:cantSplit/>
        </w:trPr>
        <w:tc>
          <w:tcPr>
            <w:tcW w:type="dxa" w:w="2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Politics</w:t>
            </w:r>
          </w:p>
        </w:tc>
        <w:tc>
          <w:tcPr>
            <w:tcW w:type="dxa" w:w="3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Interim government 12 Sep 2025; election March 2026; RSP 182/275; Balendra Shah PM from 27 Mar 2026</w:t>
            </w:r>
          </w:p>
        </w:tc>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OK</w:t>
            </w:r>
          </w:p>
        </w:tc>
        <w:tc>
          <w:tcPr>
            <w:tcW w:type="dxa" w:w="303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Credendo and others</w:t>
            </w:r>
          </w:p>
        </w:tc>
      </w:tr>
      <w:tr>
        <w:trPr>
          <w:cantSplit/>
        </w:trPr>
        <w:tc>
          <w:tcPr>
            <w:tcW w:type="dxa" w:w="2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Business confidence</w:t>
            </w:r>
          </w:p>
        </w:tc>
        <w:tc>
          <w:tcPr>
            <w:tcW w:type="dxa" w:w="3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Loss estimates (&gt;$700m); World Bank forecast cut after unrest</w:t>
            </w:r>
          </w:p>
        </w:tc>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CHECK</w:t>
            </w:r>
          </w:p>
        </w:tc>
        <w:tc>
          <w:tcPr>
            <w:tcW w:type="dxa" w:w="303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Analyst pieces; verify before using</w:t>
            </w:r>
          </w:p>
        </w:tc>
      </w:tr>
      <w:tr>
        <w:trPr>
          <w:cantSplit/>
        </w:trPr>
        <w:tc>
          <w:tcPr>
            <w:tcW w:type="dxa" w:w="2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FITTA</w:t>
            </w:r>
          </w:p>
        </w:tc>
        <w:tc>
          <w:tcPr>
            <w:tcW w:type="dxa" w:w="3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Foreign investment allowed only in industrial activities, not trading; negative list incl. retail trade (limited exceptions); restaurants not named; NRB regulates foreign exchange</w:t>
            </w:r>
          </w:p>
        </w:tc>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CHECK</w:t>
            </w:r>
          </w:p>
        </w:tc>
        <w:tc>
          <w:tcPr>
            <w:tcW w:type="dxa" w:w="303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Law-firm summaries. Check the Act, Schedule, minimum investment and franchise treatment</w:t>
            </w:r>
          </w:p>
        </w:tc>
      </w:tr>
      <w:tr>
        <w:trPr>
          <w:cantSplit/>
        </w:trPr>
        <w:tc>
          <w:tcPr>
            <w:tcW w:type="dxa" w:w="2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Coffee production and trade</w:t>
            </w:r>
          </w:p>
        </w:tc>
        <w:tc>
          <w:tcPr>
            <w:tcW w:type="dxa" w:w="3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FY2081/82: 5,501 ha, 642 t, imports 230 t, exports 64 t; FY2023/24: exports 89 t, imports 443 t</w:t>
            </w:r>
          </w:p>
        </w:tc>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CHECK</w:t>
            </w:r>
          </w:p>
        </w:tc>
        <w:tc>
          <w:tcPr>
            <w:tcW w:type="dxa" w:w="303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Ekantipur 2026; Online Khabar. Years conflict; label the fiscal year</w:t>
            </w:r>
          </w:p>
        </w:tc>
      </w:tr>
      <w:tr>
        <w:trPr>
          <w:cantSplit/>
        </w:trPr>
        <w:tc>
          <w:tcPr>
            <w:tcW w:type="dxa" w:w="2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Coffee consumption</w:t>
            </w:r>
          </w:p>
        </w:tc>
        <w:tc>
          <w:tcPr>
            <w:tcW w:type="dxa" w:w="3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Over 2,200 t a year; over half via unofficial channels</w:t>
            </w:r>
          </w:p>
        </w:tc>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OK</w:t>
            </w:r>
          </w:p>
        </w:tc>
        <w:tc>
          <w:tcPr>
            <w:tcW w:type="dxa" w:w="303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NTCDB survey (reported)</w:t>
            </w:r>
          </w:p>
        </w:tc>
      </w:tr>
      <w:tr>
        <w:trPr>
          <w:cantSplit/>
        </w:trPr>
        <w:tc>
          <w:tcPr>
            <w:tcW w:type="dxa" w:w="2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Tourism</w:t>
            </w:r>
          </w:p>
        </w:tc>
        <w:tc>
          <w:tcPr>
            <w:tcW w:type="dxa" w:w="3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1,158,459 arrivals in 2025 (+1%); 96.8% of 2019; India about 25.2%; Sept 2025 −18.3%</w:t>
            </w:r>
          </w:p>
        </w:tc>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OK</w:t>
            </w:r>
          </w:p>
        </w:tc>
        <w:tc>
          <w:tcPr>
            <w:tcW w:type="dxa" w:w="303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Nepal Tourism Board via press</w:t>
            </w:r>
          </w:p>
        </w:tc>
      </w:tr>
      <w:tr>
        <w:trPr>
          <w:cantSplit/>
        </w:trPr>
        <w:tc>
          <w:tcPr>
            <w:tcW w:type="dxa" w:w="2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Length of stay</w:t>
            </w:r>
          </w:p>
        </w:tc>
        <w:tc>
          <w:tcPr>
            <w:tcW w:type="dxa" w:w="3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16.34 days in 2025 (13.30 in 2024); recording method changed in 2025</w:t>
            </w:r>
          </w:p>
        </w:tc>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CHECK</w:t>
            </w:r>
          </w:p>
        </w:tc>
        <w:tc>
          <w:tcPr>
            <w:tcW w:type="dxa" w:w="303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Kathmandu Post; compare cautiously</w:t>
            </w:r>
          </w:p>
        </w:tc>
      </w:tr>
      <w:tr>
        <w:trPr>
          <w:cantSplit/>
        </w:trPr>
        <w:tc>
          <w:tcPr>
            <w:tcW w:type="dxa" w:w="2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Tourist spend</w:t>
            </w:r>
          </w:p>
        </w:tc>
        <w:tc>
          <w:tcPr>
            <w:tcW w:type="dxa" w:w="3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About $33 a day in 2025 (2024: $40.84); regional range cited at $100–150; target $125 within 10 years</w:t>
            </w:r>
          </w:p>
        </w:tc>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CHECK</w:t>
            </w:r>
          </w:p>
        </w:tc>
        <w:tc>
          <w:tcPr>
            <w:tcW w:type="dxa" w:w="303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Kathmandu Post; Ekantipur; regional figure unsourced</w:t>
            </w:r>
          </w:p>
        </w:tc>
      </w:tr>
      <w:tr>
        <w:trPr>
          <w:cantSplit/>
        </w:trPr>
        <w:tc>
          <w:tcPr>
            <w:tcW w:type="dxa" w:w="2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Tourism earnings</w:t>
            </w:r>
          </w:p>
        </w:tc>
        <w:tc>
          <w:tcPr>
            <w:tcW w:type="dxa" w:w="3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Foreign-exchange earnings from tourism +4.8% (about NPR 87.4bn)</w:t>
            </w:r>
          </w:p>
        </w:tc>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CHECK</w:t>
            </w:r>
          </w:p>
        </w:tc>
        <w:tc>
          <w:tcPr>
            <w:tcW w:type="dxa" w:w="303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Press report; verify at NRB or NTB</w:t>
            </w:r>
          </w:p>
        </w:tc>
      </w:tr>
      <w:tr>
        <w:trPr>
          <w:cantSplit/>
        </w:trPr>
        <w:tc>
          <w:tcPr>
            <w:tcW w:type="dxa" w:w="2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Air gateway</w:t>
            </w:r>
          </w:p>
        </w:tc>
        <w:tc>
          <w:tcPr>
            <w:tcW w:type="dxa" w:w="3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Kathmandu airport about 5.25m international and 4.53m domestic passengers in 2025</w:t>
            </w:r>
          </w:p>
        </w:tc>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OK</w:t>
            </w:r>
          </w:p>
        </w:tc>
        <w:tc>
          <w:tcPr>
            <w:tcW w:type="dxa" w:w="303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Civil Aviation Authority of Nepal via Ekantipur</w:t>
            </w:r>
          </w:p>
        </w:tc>
      </w:tr>
      <w:tr>
        <w:trPr>
          <w:cantSplit/>
        </w:trPr>
        <w:tc>
          <w:tcPr>
            <w:tcW w:type="dxa" w:w="2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Starbucks Laos precedent</w:t>
            </w:r>
          </w:p>
        </w:tc>
        <w:tc>
          <w:tcPr>
            <w:tcW w:type="dxa" w:w="3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Licensed partner Coffee Concepts (Laos), part of Maxim’s Caterers</w:t>
            </w:r>
          </w:p>
        </w:tc>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CHECK</w:t>
            </w:r>
          </w:p>
        </w:tc>
        <w:tc>
          <w:tcPr>
            <w:tcW w:type="dxa" w:w="303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Date and details to verify</w:t>
            </w:r>
          </w:p>
        </w:tc>
      </w:tr>
      <w:tr>
        <w:trPr>
          <w:cantSplit/>
        </w:trPr>
        <w:tc>
          <w:tcPr>
            <w:tcW w:type="dxa" w:w="2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Hofstede</w:t>
            </w:r>
          </w:p>
        </w:tc>
        <w:tc>
          <w:tcPr>
            <w:tcW w:type="dxa" w:w="3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No verified official Nepal scores found; qualitative evidence only</w:t>
            </w:r>
          </w:p>
        </w:tc>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CHECK</w:t>
            </w:r>
          </w:p>
        </w:tc>
        <w:tc>
          <w:tcPr>
            <w:tcW w:type="dxa" w:w="303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Hofstede Insights; NABIL Bank study</w:t>
            </w:r>
          </w:p>
        </w:tc>
      </w:tr>
      <w:tr>
        <w:trPr>
          <w:cantSplit/>
        </w:trPr>
        <w:tc>
          <w:tcPr>
            <w:tcW w:type="dxa" w:w="2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Local competition</w:t>
            </w:r>
          </w:p>
        </w:tc>
        <w:tc>
          <w:tcPr>
            <w:tcW w:type="dxa" w:w="3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Café Coffee Day (Basantapur); Everest Coffee Beans franchise outlet (May 2026); Himalayan Java and Redmud (undated blog)</w:t>
            </w:r>
          </w:p>
        </w:tc>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CHECK</w:t>
            </w:r>
          </w:p>
        </w:tc>
        <w:tc>
          <w:tcPr>
            <w:tcW w:type="dxa" w:w="303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Sharesansar; verify names and dates</w:t>
            </w:r>
          </w:p>
        </w:tc>
      </w:tr>
    </w:tbl>
    <w:p>
      <w:pPr>
        <w:pStyle w:val="Heading1"/>
        <w:spacing w:after="120" w:before="300"/>
      </w:pPr>
      <w:r>
        <w:rPr>
          <w:rFonts w:ascii="Calibri" w:cs="Calibri" w:eastAsia="Calibri" w:hAnsi="Calibri"/>
          <w:b/>
          <w:bCs/>
          <w:color w:val="1F3864"/>
          <w:sz w:val="30"/>
          <w:szCs w:val="30"/>
        </w:rPr>
        <w:t xml:space="preserve">9. Planned reference set (all to be verified before use)</w:t>
      </w:r>
    </w:p>
    <w:p>
      <w:pPr>
        <w:spacing w:after="100"/>
      </w:pPr>
      <w:r>
        <w:rPr>
          <w:rFonts w:ascii="Calibri" w:cs="Calibri" w:eastAsia="Calibri" w:hAnsi="Calibri"/>
          <w:sz w:val="21"/>
          <w:szCs w:val="21"/>
        </w:rPr>
        <w:t xml:space="preserve">Check each full citation against the original source before it goes in your list. Only cite sources you have opened.</w:t>
      </w:r>
    </w:p>
    <w:p>
      <w:pPr>
        <w:pStyle w:val="ListParagraph"/>
        <w:numPr>
          <w:ilvl w:val="0"/>
          <w:numId w:val="2"/>
        </w:numPr>
        <w:spacing w:after="60"/>
      </w:pPr>
      <w:r>
        <w:rPr>
          <w:rFonts w:ascii="Calibri" w:cs="Calibri" w:eastAsia="Calibri" w:hAnsi="Calibri"/>
          <w:sz w:val="21"/>
          <w:szCs w:val="21"/>
        </w:rPr>
        <w:t xml:space="preserve">Barney, J. (1991) ‘Firm resources and sustained competitive advantage’, Journal of Management, 17(1).</w:t>
      </w:r>
    </w:p>
    <w:p>
      <w:pPr>
        <w:pStyle w:val="ListParagraph"/>
        <w:numPr>
          <w:ilvl w:val="0"/>
          <w:numId w:val="2"/>
        </w:numPr>
        <w:spacing w:after="60"/>
      </w:pPr>
      <w:r>
        <w:rPr>
          <w:rFonts w:ascii="Calibri" w:cs="Calibri" w:eastAsia="Calibri" w:hAnsi="Calibri"/>
          <w:sz w:val="21"/>
          <w:szCs w:val="21"/>
        </w:rPr>
        <w:t xml:space="preserve">Dunning, J.H. and Lundan, S.M. (2008) Multinational Enterprises and the Global Economy. 2nd edn.</w:t>
      </w:r>
    </w:p>
    <w:p>
      <w:pPr>
        <w:pStyle w:val="ListParagraph"/>
        <w:numPr>
          <w:ilvl w:val="0"/>
          <w:numId w:val="2"/>
        </w:numPr>
        <w:spacing w:after="60"/>
      </w:pPr>
      <w:r>
        <w:rPr>
          <w:rFonts w:ascii="Calibri" w:cs="Calibri" w:eastAsia="Calibri" w:hAnsi="Calibri"/>
          <w:sz w:val="21"/>
          <w:szCs w:val="21"/>
        </w:rPr>
        <w:t xml:space="preserve">Ghemawat, P. (2001) ‘Distance still matters’, Harvard Business Review, 79(8).</w:t>
      </w:r>
    </w:p>
    <w:p>
      <w:pPr>
        <w:pStyle w:val="ListParagraph"/>
        <w:numPr>
          <w:ilvl w:val="0"/>
          <w:numId w:val="2"/>
        </w:numPr>
        <w:spacing w:after="60"/>
      </w:pPr>
      <w:r>
        <w:rPr>
          <w:rFonts w:ascii="Calibri" w:cs="Calibri" w:eastAsia="Calibri" w:hAnsi="Calibri"/>
          <w:sz w:val="21"/>
          <w:szCs w:val="21"/>
        </w:rPr>
        <w:t xml:space="preserve">Hofstede, G., Hofstede, G.J. and Minkov, M. (2010) Cultures and Organizations: Software of the Mind. 3rd edn.</w:t>
      </w:r>
    </w:p>
    <w:p>
      <w:pPr>
        <w:pStyle w:val="ListParagraph"/>
        <w:numPr>
          <w:ilvl w:val="0"/>
          <w:numId w:val="2"/>
        </w:numPr>
        <w:spacing w:after="60"/>
      </w:pPr>
      <w:r>
        <w:rPr>
          <w:rFonts w:ascii="Calibri" w:cs="Calibri" w:eastAsia="Calibri" w:hAnsi="Calibri"/>
          <w:sz w:val="21"/>
          <w:szCs w:val="21"/>
        </w:rPr>
        <w:t xml:space="preserve">Johanson, J. and Vahlne, J-E. (1977) ‘The internationalization process of the firm’, Journal of International Business Studies, 8(1).</w:t>
      </w:r>
    </w:p>
    <w:p>
      <w:pPr>
        <w:pStyle w:val="ListParagraph"/>
        <w:numPr>
          <w:ilvl w:val="0"/>
          <w:numId w:val="2"/>
        </w:numPr>
        <w:spacing w:after="60"/>
      </w:pPr>
      <w:r>
        <w:rPr>
          <w:rFonts w:ascii="Calibri" w:cs="Calibri" w:eastAsia="Calibri" w:hAnsi="Calibri"/>
          <w:sz w:val="21"/>
          <w:szCs w:val="21"/>
        </w:rPr>
        <w:t xml:space="preserve">Kogut, B. (1991) ‘Joint ventures and the option to expand and acquire’, Management Science, 37(1).</w:t>
      </w:r>
    </w:p>
    <w:p>
      <w:pPr>
        <w:pStyle w:val="ListParagraph"/>
        <w:numPr>
          <w:ilvl w:val="0"/>
          <w:numId w:val="2"/>
        </w:numPr>
        <w:spacing w:after="60"/>
      </w:pPr>
      <w:r>
        <w:rPr>
          <w:rFonts w:ascii="Calibri" w:cs="Calibri" w:eastAsia="Calibri" w:hAnsi="Calibri"/>
          <w:sz w:val="21"/>
          <w:szCs w:val="21"/>
        </w:rPr>
        <w:t xml:space="preserve">North, D.C. (1990) Institutions, Institutional Change and Economic Performance.</w:t>
      </w:r>
    </w:p>
    <w:p>
      <w:pPr>
        <w:pStyle w:val="ListParagraph"/>
        <w:numPr>
          <w:ilvl w:val="0"/>
          <w:numId w:val="2"/>
        </w:numPr>
        <w:spacing w:after="60"/>
      </w:pPr>
      <w:r>
        <w:rPr>
          <w:rFonts w:ascii="Calibri" w:cs="Calibri" w:eastAsia="Calibri" w:hAnsi="Calibri"/>
          <w:sz w:val="21"/>
          <w:szCs w:val="21"/>
        </w:rPr>
        <w:t xml:space="preserve">Peng, M.W., Wang, D.Y.L. and Jiang, Y. (2008) ‘An institution-based view of international business strategy’, Journal of International Business Studies, 39(5).</w:t>
      </w:r>
    </w:p>
    <w:p>
      <w:pPr>
        <w:pStyle w:val="ListParagraph"/>
        <w:numPr>
          <w:ilvl w:val="0"/>
          <w:numId w:val="2"/>
        </w:numPr>
        <w:spacing w:after="60"/>
      </w:pPr>
      <w:r>
        <w:rPr>
          <w:rFonts w:ascii="Calibri" w:cs="Calibri" w:eastAsia="Calibri" w:hAnsi="Calibri"/>
          <w:sz w:val="21"/>
          <w:szCs w:val="21"/>
        </w:rPr>
        <w:t xml:space="preserve">Rugman, A.M. and Verbeke, A. (2004) ‘A perspective on regional and global strategies of multinational enterprises’, Journal of International Business Studies, 35(1).</w:t>
      </w:r>
    </w:p>
    <w:p>
      <w:pPr>
        <w:pStyle w:val="ListParagraph"/>
        <w:numPr>
          <w:ilvl w:val="0"/>
          <w:numId w:val="2"/>
        </w:numPr>
        <w:spacing w:after="60"/>
      </w:pPr>
      <w:r>
        <w:rPr>
          <w:rFonts w:ascii="Calibri" w:cs="Calibri" w:eastAsia="Calibri" w:hAnsi="Calibri"/>
          <w:sz w:val="21"/>
          <w:szCs w:val="21"/>
        </w:rPr>
        <w:t xml:space="preserve">Teece, D.J., Pisano, G. and Shuen, A. (1997) ‘Dynamic capabilities and strategic management’, Strategic Management Journal, 18(7).</w:t>
      </w:r>
    </w:p>
    <w:p>
      <w:pPr>
        <w:pStyle w:val="ListParagraph"/>
        <w:numPr>
          <w:ilvl w:val="0"/>
          <w:numId w:val="2"/>
        </w:numPr>
        <w:spacing w:after="60"/>
      </w:pPr>
      <w:r>
        <w:rPr>
          <w:rFonts w:ascii="Calibri" w:cs="Calibri" w:eastAsia="Calibri" w:hAnsi="Calibri"/>
          <w:sz w:val="21"/>
          <w:szCs w:val="21"/>
        </w:rPr>
        <w:t xml:space="preserve">Cohen, E. (1972) ‘Toward a sociology of international tourism’, Social Research, 39(1).</w:t>
      </w:r>
    </w:p>
    <w:p>
      <w:pPr>
        <w:pStyle w:val="ListParagraph"/>
        <w:numPr>
          <w:ilvl w:val="0"/>
          <w:numId w:val="2"/>
        </w:numPr>
        <w:spacing w:after="60"/>
      </w:pPr>
      <w:r>
        <w:rPr>
          <w:rFonts w:ascii="Calibri" w:cs="Calibri" w:eastAsia="Calibri" w:hAnsi="Calibri"/>
          <w:sz w:val="21"/>
          <w:szCs w:val="21"/>
        </w:rPr>
        <w:t xml:space="preserve">Butler, R.W. (1980) ‘The concept of a tourist area cycle of evolution’, Canadian Geographer, 24(1).</w:t>
      </w:r>
    </w:p>
    <w:p>
      <w:pPr>
        <w:pStyle w:val="ListParagraph"/>
        <w:numPr>
          <w:ilvl w:val="0"/>
          <w:numId w:val="2"/>
        </w:numPr>
        <w:spacing w:after="60"/>
      </w:pPr>
      <w:r>
        <w:rPr>
          <w:rFonts w:ascii="Calibri" w:cs="Calibri" w:eastAsia="Calibri" w:hAnsi="Calibri"/>
          <w:sz w:val="21"/>
          <w:szCs w:val="21"/>
        </w:rPr>
        <w:t xml:space="preserve">Zaheer, S. (1995) ‘Overcoming the liability of foreignness’, Academy of Management Journal, 38(2).</w:t>
      </w:r>
    </w:p>
    <w:p>
      <w:pPr>
        <w:pStyle w:val="ListParagraph"/>
        <w:numPr>
          <w:ilvl w:val="0"/>
          <w:numId w:val="2"/>
        </w:numPr>
        <w:spacing w:after="60"/>
      </w:pPr>
      <w:r>
        <w:rPr>
          <w:rFonts w:ascii="Calibri" w:cs="Calibri" w:eastAsia="Calibri" w:hAnsi="Calibri"/>
          <w:sz w:val="21"/>
          <w:szCs w:val="21"/>
        </w:rPr>
        <w:t xml:space="preserve">Starbucks Corporation: latest Form 10-K and Global Impact Report.</w:t>
      </w:r>
    </w:p>
    <w:p>
      <w:pPr>
        <w:pStyle w:val="ListParagraph"/>
        <w:numPr>
          <w:ilvl w:val="0"/>
          <w:numId w:val="2"/>
        </w:numPr>
        <w:spacing w:after="60"/>
      </w:pPr>
      <w:r>
        <w:rPr>
          <w:rFonts w:ascii="Calibri" w:cs="Calibri" w:eastAsia="Calibri" w:hAnsi="Calibri"/>
          <w:sz w:val="21"/>
          <w:szCs w:val="21"/>
        </w:rPr>
        <w:t xml:space="preserve">Transparency International (2026) Corruption Perceptions Index 2025.</w:t>
      </w:r>
    </w:p>
    <w:p>
      <w:pPr>
        <w:pStyle w:val="ListParagraph"/>
        <w:numPr>
          <w:ilvl w:val="0"/>
          <w:numId w:val="2"/>
        </w:numPr>
        <w:spacing w:after="60"/>
      </w:pPr>
      <w:r>
        <w:rPr>
          <w:rFonts w:ascii="Calibri" w:cs="Calibri" w:eastAsia="Calibri" w:hAnsi="Calibri"/>
          <w:sz w:val="21"/>
          <w:szCs w:val="21"/>
        </w:rPr>
        <w:t xml:space="preserve">Nepal Rastra Bank (2026) Current macroeconomic and financial situation (FY2025/26).</w:t>
      </w:r>
    </w:p>
    <w:p>
      <w:pPr>
        <w:pStyle w:val="ListParagraph"/>
        <w:numPr>
          <w:ilvl w:val="0"/>
          <w:numId w:val="2"/>
        </w:numPr>
        <w:spacing w:after="60"/>
      </w:pPr>
      <w:r>
        <w:rPr>
          <w:rFonts w:ascii="Calibri" w:cs="Calibri" w:eastAsia="Calibri" w:hAnsi="Calibri"/>
          <w:sz w:val="21"/>
          <w:szCs w:val="21"/>
        </w:rPr>
        <w:t xml:space="preserve">Ministry of Finance, Nepal (2026) Economic Survey 2025/26.</w:t>
      </w:r>
    </w:p>
    <w:p>
      <w:pPr>
        <w:pStyle w:val="ListParagraph"/>
        <w:numPr>
          <w:ilvl w:val="0"/>
          <w:numId w:val="2"/>
        </w:numPr>
        <w:spacing w:after="60"/>
      </w:pPr>
      <w:r>
        <w:rPr>
          <w:rFonts w:ascii="Calibri" w:cs="Calibri" w:eastAsia="Calibri" w:hAnsi="Calibri"/>
          <w:sz w:val="21"/>
          <w:szCs w:val="21"/>
        </w:rPr>
        <w:t xml:space="preserve">Nepal Tourism Board (2026) Tourism Insight / annual arrivals.</w:t>
      </w:r>
    </w:p>
    <w:p>
      <w:pPr>
        <w:pStyle w:val="ListParagraph"/>
        <w:numPr>
          <w:ilvl w:val="0"/>
          <w:numId w:val="2"/>
        </w:numPr>
        <w:spacing w:after="60"/>
      </w:pPr>
      <w:r>
        <w:rPr>
          <w:rFonts w:ascii="Calibri" w:cs="Calibri" w:eastAsia="Calibri" w:hAnsi="Calibri"/>
          <w:sz w:val="21"/>
          <w:szCs w:val="21"/>
        </w:rPr>
        <w:t xml:space="preserve">Foreign Investment and Technology Transfer Act 2019 (Nepal) and Schedule.</w:t>
      </w:r>
    </w:p>
    <w:p>
      <w:pPr>
        <w:pStyle w:val="ListParagraph"/>
        <w:numPr>
          <w:ilvl w:val="0"/>
          <w:numId w:val="2"/>
        </w:numPr>
        <w:spacing w:after="60"/>
      </w:pPr>
      <w:r>
        <w:rPr>
          <w:rFonts w:ascii="Calibri" w:cs="Calibri" w:eastAsia="Calibri" w:hAnsi="Calibri"/>
          <w:sz w:val="21"/>
          <w:szCs w:val="21"/>
        </w:rPr>
        <w:t xml:space="preserve">Tea and Coffee Development Board (NTCDB) and press reports on coffee trade.</w:t>
      </w:r>
    </w:p>
    <w:p>
      <w:pPr>
        <w:pStyle w:val="Heading1"/>
        <w:spacing w:after="120" w:before="300"/>
      </w:pPr>
      <w:r>
        <w:rPr>
          <w:rFonts w:ascii="Calibri" w:cs="Calibri" w:eastAsia="Calibri" w:hAnsi="Calibri"/>
          <w:b/>
          <w:bCs/>
          <w:color w:val="1F3864"/>
          <w:sz w:val="30"/>
          <w:szCs w:val="30"/>
        </w:rPr>
        <w:t xml:space="preserve">10. Harsh-marker checklist</w:t>
      </w:r>
    </w:p>
    <w:p>
      <w:pPr>
        <w:pStyle w:val="Heading3"/>
        <w:spacing w:after="80" w:before="140"/>
      </w:pPr>
      <w:r>
        <w:rPr>
          <w:rFonts w:ascii="Calibri" w:cs="Calibri" w:eastAsia="Calibri" w:hAnsi="Calibri"/>
          <w:b/>
          <w:bCs/>
          <w:sz w:val="22"/>
          <w:szCs w:val="22"/>
        </w:rPr>
        <w:t xml:space="preserve">Include</w:t>
      </w:r>
    </w:p>
    <w:p>
      <w:pPr>
        <w:pStyle w:val="ListParagraph"/>
        <w:numPr>
          <w:ilvl w:val="0"/>
          <w:numId w:val="2"/>
        </w:numPr>
        <w:spacing w:after="60"/>
      </w:pPr>
      <w:r>
        <w:rPr>
          <w:rFonts w:ascii="Calibri" w:cs="Calibri" w:eastAsia="Calibri" w:hAnsi="Calibri"/>
          <w:sz w:val="21"/>
          <w:szCs w:val="21"/>
        </w:rPr>
        <w:t xml:space="preserve">Thesis and recommendation in the first 30 words.</w:t>
      </w:r>
    </w:p>
    <w:p>
      <w:pPr>
        <w:pStyle w:val="ListParagraph"/>
        <w:numPr>
          <w:ilvl w:val="0"/>
          <w:numId w:val="2"/>
        </w:numPr>
        <w:spacing w:after="60"/>
      </w:pPr>
      <w:r>
        <w:rPr>
          <w:rFonts w:ascii="Calibri" w:cs="Calibri" w:eastAsia="Calibri" w:hAnsi="Calibri"/>
          <w:sz w:val="21"/>
          <w:szCs w:val="21"/>
        </w:rPr>
        <w:t xml:space="preserve">One integrated argument: RBV → OLI → institutions → distance → culture → stage gates.</w:t>
      </w:r>
    </w:p>
    <w:p>
      <w:pPr>
        <w:pStyle w:val="ListParagraph"/>
        <w:numPr>
          <w:ilvl w:val="0"/>
          <w:numId w:val="2"/>
        </w:numPr>
        <w:spacing w:after="60"/>
      </w:pPr>
      <w:r>
        <w:rPr>
          <w:rFonts w:ascii="Calibri" w:cs="Calibri" w:eastAsia="Calibri" w:hAnsi="Calibri"/>
          <w:sz w:val="21"/>
          <w:szCs w:val="21"/>
        </w:rPr>
        <w:t xml:space="preserve">A stated limit for every theory, and a stated limit for your own data.</w:t>
      </w:r>
    </w:p>
    <w:p>
      <w:pPr>
        <w:pStyle w:val="ListParagraph"/>
        <w:numPr>
          <w:ilvl w:val="0"/>
          <w:numId w:val="2"/>
        </w:numPr>
        <w:spacing w:after="60"/>
      </w:pPr>
      <w:r>
        <w:rPr>
          <w:rFonts w:ascii="Calibri" w:cs="Calibri" w:eastAsia="Calibri" w:hAnsi="Calibri"/>
          <w:sz w:val="21"/>
          <w:szCs w:val="21"/>
        </w:rPr>
        <w:t xml:space="preserve">Conflicting data acknowledged (growth forecasts, coffee-trade years).</w:t>
      </w:r>
    </w:p>
    <w:p>
      <w:pPr>
        <w:pStyle w:val="ListParagraph"/>
        <w:numPr>
          <w:ilvl w:val="0"/>
          <w:numId w:val="2"/>
        </w:numPr>
        <w:spacing w:after="60"/>
      </w:pPr>
      <w:r>
        <w:rPr>
          <w:rFonts w:ascii="Calibri" w:cs="Calibri" w:eastAsia="Calibri" w:hAnsi="Calibri"/>
          <w:sz w:val="21"/>
          <w:szCs w:val="21"/>
        </w:rPr>
        <w:t xml:space="preserve">Number plus consequence for every statistic.</w:t>
      </w:r>
    </w:p>
    <w:p>
      <w:pPr>
        <w:pStyle w:val="ListParagraph"/>
        <w:numPr>
          <w:ilvl w:val="0"/>
          <w:numId w:val="2"/>
        </w:numPr>
        <w:spacing w:after="60"/>
      </w:pPr>
      <w:r>
        <w:rPr>
          <w:rFonts w:ascii="Calibri" w:cs="Calibri" w:eastAsia="Calibri" w:hAnsi="Calibri"/>
          <w:sz w:val="21"/>
          <w:szCs w:val="21"/>
        </w:rPr>
        <w:t xml:space="preserve">All six Hofstede dimensions, grouped by management function.</w:t>
      </w:r>
    </w:p>
    <w:p>
      <w:pPr>
        <w:pStyle w:val="ListParagraph"/>
        <w:numPr>
          <w:ilvl w:val="0"/>
          <w:numId w:val="2"/>
        </w:numPr>
        <w:spacing w:after="60"/>
      </w:pPr>
      <w:r>
        <w:rPr>
          <w:rFonts w:ascii="Calibri" w:cs="Calibri" w:eastAsia="Calibri" w:hAnsi="Calibri"/>
          <w:sz w:val="21"/>
          <w:szCs w:val="21"/>
        </w:rPr>
        <w:t xml:space="preserve">Reverse learning and a clear monitoring line in the conclusion.</w:t>
      </w:r>
    </w:p>
    <w:p>
      <w:pPr>
        <w:pStyle w:val="ListParagraph"/>
        <w:numPr>
          <w:ilvl w:val="0"/>
          <w:numId w:val="2"/>
        </w:numPr>
        <w:spacing w:after="60"/>
      </w:pPr>
      <w:r>
        <w:rPr>
          <w:rFonts w:ascii="Calibri" w:cs="Calibri" w:eastAsia="Calibri" w:hAnsi="Calibri"/>
          <w:sz w:val="21"/>
          <w:szCs w:val="21"/>
        </w:rPr>
        <w:t xml:space="preserve">Tourism treated critically: scale, low spend, seasonality and segment differences, with hypotheses labelled as hypotheses.</w:t>
      </w:r>
    </w:p>
    <w:p>
      <w:pPr>
        <w:pStyle w:val="ListParagraph"/>
        <w:numPr>
          <w:ilvl w:val="0"/>
          <w:numId w:val="2"/>
        </w:numPr>
        <w:spacing w:after="60"/>
      </w:pPr>
      <w:r>
        <w:rPr>
          <w:rFonts w:ascii="Calibri" w:cs="Calibri" w:eastAsia="Calibri" w:hAnsi="Calibri"/>
          <w:sz w:val="21"/>
          <w:szCs w:val="21"/>
        </w:rPr>
        <w:t xml:space="preserve">Hedged wording where evidence is weak (“suggests”, “is likely to”).</w:t>
      </w:r>
    </w:p>
    <w:p>
      <w:pPr>
        <w:pStyle w:val="Heading3"/>
        <w:spacing w:after="80" w:before="140"/>
      </w:pPr>
      <w:r>
        <w:rPr>
          <w:rFonts w:ascii="Calibri" w:cs="Calibri" w:eastAsia="Calibri" w:hAnsi="Calibri"/>
          <w:b/>
          <w:bCs/>
          <w:sz w:val="22"/>
          <w:szCs w:val="22"/>
        </w:rPr>
        <w:t xml:space="preserve">Remove or avoid</w:t>
      </w:r>
    </w:p>
    <w:p>
      <w:pPr>
        <w:pStyle w:val="ListParagraph"/>
        <w:numPr>
          <w:ilvl w:val="0"/>
          <w:numId w:val="2"/>
        </w:numPr>
        <w:spacing w:after="60"/>
      </w:pPr>
      <w:r>
        <w:rPr>
          <w:rFonts w:ascii="Calibri" w:cs="Calibri" w:eastAsia="Calibri" w:hAnsi="Calibri"/>
          <w:sz w:val="21"/>
          <w:szCs w:val="21"/>
        </w:rPr>
        <w:t xml:space="preserve">Theory definitions and Starbucks history.</w:t>
      </w:r>
    </w:p>
    <w:p>
      <w:pPr>
        <w:pStyle w:val="ListParagraph"/>
        <w:numPr>
          <w:ilvl w:val="0"/>
          <w:numId w:val="2"/>
        </w:numPr>
        <w:spacing w:after="60"/>
      </w:pPr>
      <w:r>
        <w:rPr>
          <w:rFonts w:ascii="Calibri" w:cs="Calibri" w:eastAsia="Calibri" w:hAnsi="Calibri"/>
          <w:sz w:val="21"/>
          <w:szCs w:val="21"/>
        </w:rPr>
        <w:t xml:space="preserve">Invented Hofstede scores or any unsourced number.</w:t>
      </w:r>
    </w:p>
    <w:p>
      <w:pPr>
        <w:pStyle w:val="ListParagraph"/>
        <w:numPr>
          <w:ilvl w:val="0"/>
          <w:numId w:val="2"/>
        </w:numPr>
        <w:spacing w:after="60"/>
      </w:pPr>
      <w:r>
        <w:rPr>
          <w:rFonts w:ascii="Calibri" w:cs="Calibri" w:eastAsia="Calibri" w:hAnsi="Calibri"/>
          <w:sz w:val="21"/>
          <w:szCs w:val="21"/>
        </w:rPr>
        <w:t xml:space="preserve">Generic claims (“culture is important”).</w:t>
      </w:r>
    </w:p>
    <w:p>
      <w:pPr>
        <w:pStyle w:val="ListParagraph"/>
        <w:numPr>
          <w:ilvl w:val="0"/>
          <w:numId w:val="2"/>
        </w:numPr>
        <w:spacing w:after="60"/>
      </w:pPr>
      <w:r>
        <w:rPr>
          <w:rFonts w:ascii="Calibri" w:cs="Calibri" w:eastAsia="Calibri" w:hAnsi="Calibri"/>
          <w:sz w:val="21"/>
          <w:szCs w:val="21"/>
        </w:rPr>
        <w:t xml:space="preserve">More than one internal framework.</w:t>
      </w:r>
    </w:p>
    <w:p>
      <w:pPr>
        <w:pStyle w:val="ListParagraph"/>
        <w:numPr>
          <w:ilvl w:val="0"/>
          <w:numId w:val="2"/>
        </w:numPr>
        <w:spacing w:after="60"/>
      </w:pPr>
      <w:r>
        <w:rPr>
          <w:rFonts w:ascii="Calibri" w:cs="Calibri" w:eastAsia="Calibri" w:hAnsi="Calibri"/>
          <w:sz w:val="21"/>
          <w:szCs w:val="21"/>
        </w:rPr>
        <w:t xml:space="preserve">New evidence in the conclusion.</w:t>
      </w:r>
    </w:p>
    <w:p>
      <w:pPr>
        <w:pStyle w:val="ListParagraph"/>
        <w:numPr>
          <w:ilvl w:val="0"/>
          <w:numId w:val="2"/>
        </w:numPr>
        <w:spacing w:after="60"/>
      </w:pPr>
      <w:r>
        <w:rPr>
          <w:rFonts w:ascii="Calibri" w:cs="Calibri" w:eastAsia="Calibri" w:hAnsi="Calibri"/>
          <w:sz w:val="21"/>
          <w:szCs w:val="21"/>
        </w:rPr>
        <w:t xml:space="preserve">Name or contact details (SRN only); anything over 1,000 words.</w:t>
      </w:r>
    </w:p>
    <w:p>
      <w:pPr>
        <w:pStyle w:val="Heading1"/>
        <w:spacing w:after="120" w:before="300"/>
      </w:pPr>
      <w:r>
        <w:rPr>
          <w:rFonts w:ascii="Calibri" w:cs="Calibri" w:eastAsia="Calibri" w:hAnsi="Calibri"/>
          <w:b/>
          <w:bCs/>
          <w:color w:val="1F3864"/>
          <w:sz w:val="30"/>
          <w:szCs w:val="30"/>
        </w:rPr>
        <w:t xml:space="preserve">11. Compliance, working order and AI warning</w:t>
      </w:r>
    </w:p>
    <w:p>
      <w:pPr>
        <w:spacing w:after="60"/>
      </w:pPr>
      <w:r>
        <w:rPr>
          <w:rFonts w:ascii="Calibri" w:cs="Calibri" w:eastAsia="Calibri" w:hAnsi="Calibri"/>
          <w:sz w:val="21"/>
          <w:szCs w:val="21"/>
        </w:rPr>
        <w:t xml:space="preserve">☐  Cover sheet completed (SRN, title, date, word count, AI declaration); title page; contents page.</w:t>
      </w:r>
    </w:p>
    <w:p>
      <w:pPr>
        <w:spacing w:after="60"/>
      </w:pPr>
      <w:r>
        <w:rPr>
          <w:rFonts w:ascii="Calibri" w:cs="Calibri" w:eastAsia="Calibri" w:hAnsi="Calibri"/>
          <w:sz w:val="21"/>
          <w:szCs w:val="21"/>
        </w:rPr>
        <w:t xml:space="preserve">☐  Page numbers in the footer; Harvard referencing with access dates; figures and tables labelled and not split across pages.</w:t>
      </w:r>
    </w:p>
    <w:p>
      <w:pPr>
        <w:spacing w:after="60"/>
      </w:pPr>
      <w:r>
        <w:rPr>
          <w:rFonts w:ascii="Calibri" w:cs="Calibri" w:eastAsia="Calibri" w:hAnsi="Calibri"/>
          <w:sz w:val="21"/>
          <w:szCs w:val="21"/>
        </w:rPr>
        <w:t xml:space="preserve">☐  Submit through Turnitin only, before the deadline.</w:t>
      </w:r>
    </w:p>
    <w:p>
      <w:pPr>
        <w:spacing w:after="80"/>
      </w:pPr>
    </w:p>
    <w:p>
      <w:pPr>
        <w:pStyle w:val="Heading3"/>
        <w:spacing w:after="80" w:before="140"/>
      </w:pPr>
      <w:r>
        <w:rPr>
          <w:rFonts w:ascii="Calibri" w:cs="Calibri" w:eastAsia="Calibri" w:hAnsi="Calibri"/>
          <w:b/>
          <w:bCs/>
          <w:sz w:val="22"/>
          <w:szCs w:val="22"/>
        </w:rPr>
        <w:t xml:space="preserve">Working order</w:t>
      </w:r>
    </w:p>
    <w:p>
      <w:pPr>
        <w:pStyle w:val="ListParagraph"/>
        <w:numPr>
          <w:ilvl w:val="0"/>
          <w:numId w:val="3"/>
        </w:numPr>
        <w:spacing w:after="60"/>
      </w:pPr>
      <w:r>
        <w:rPr>
          <w:rFonts w:ascii="Calibri" w:cs="Calibri" w:eastAsia="Calibri" w:hAnsi="Calibri"/>
          <w:sz w:val="21"/>
          <w:szCs w:val="21"/>
        </w:rPr>
        <w:t xml:space="preserve">Verify Starbucks is not in Nepal; verify two comparators; complete Appendix A.</w:t>
      </w:r>
    </w:p>
    <w:p>
      <w:pPr>
        <w:pStyle w:val="ListParagraph"/>
        <w:numPr>
          <w:ilvl w:val="0"/>
          <w:numId w:val="3"/>
        </w:numPr>
        <w:spacing w:after="60"/>
      </w:pPr>
      <w:r>
        <w:rPr>
          <w:rFonts w:ascii="Calibri" w:cs="Calibri" w:eastAsia="Calibri" w:hAnsi="Calibri"/>
          <w:sz w:val="21"/>
          <w:szCs w:val="21"/>
        </w:rPr>
        <w:t xml:space="preserve">Open every source in the data pack; resolve the CHECK items (FITTA, Hofstede, coffee-trade year, Laos).</w:t>
      </w:r>
    </w:p>
    <w:p>
      <w:pPr>
        <w:pStyle w:val="ListParagraph"/>
        <w:numPr>
          <w:ilvl w:val="0"/>
          <w:numId w:val="3"/>
        </w:numPr>
        <w:spacing w:after="60"/>
      </w:pPr>
      <w:r>
        <w:rPr>
          <w:rFonts w:ascii="Calibri" w:cs="Calibri" w:eastAsia="Calibri" w:hAnsi="Calibri"/>
          <w:sz w:val="21"/>
          <w:szCs w:val="21"/>
        </w:rPr>
        <w:t xml:space="preserve">Draft AC1 then AC2 with word counts per paragraph; write the introduction and conclusion last.</w:t>
      </w:r>
    </w:p>
    <w:p>
      <w:pPr>
        <w:pStyle w:val="ListParagraph"/>
        <w:numPr>
          <w:ilvl w:val="0"/>
          <w:numId w:val="3"/>
        </w:numPr>
        <w:spacing w:after="60"/>
      </w:pPr>
      <w:r>
        <w:rPr>
          <w:rFonts w:ascii="Calibri" w:cs="Calibri" w:eastAsia="Calibri" w:hAnsi="Calibri"/>
          <w:sz w:val="21"/>
          <w:szCs w:val="21"/>
        </w:rPr>
        <w:t xml:space="preserve">Build Figure 1 and the Appendix D roadmap.</w:t>
      </w:r>
    </w:p>
    <w:p>
      <w:pPr>
        <w:pStyle w:val="ListParagraph"/>
        <w:numPr>
          <w:ilvl w:val="0"/>
          <w:numId w:val="3"/>
        </w:numPr>
        <w:spacing w:after="60"/>
      </w:pPr>
      <w:r>
        <w:rPr>
          <w:rFonts w:ascii="Calibri" w:cs="Calibri" w:eastAsia="Calibri" w:hAnsi="Calibri"/>
          <w:sz w:val="21"/>
          <w:szCs w:val="21"/>
        </w:rPr>
        <w:t xml:space="preserve">Cut to 960–990 words; check every citation against the reference list.</w:t>
      </w:r>
    </w:p>
    <w:p>
      <w:pPr>
        <w:spacing w:after="80"/>
      </w:pPr>
    </w:p>
    <w:p>
      <w:pPr>
        <w:spacing w:after="100"/>
      </w:pPr>
      <w:r>
        <w:rPr>
          <w:rFonts w:ascii="Calibri" w:cs="Calibri" w:eastAsia="Calibri" w:hAnsi="Calibri"/>
          <w:b/>
          <w:bCs/>
          <w:sz w:val="21"/>
          <w:szCs w:val="21"/>
        </w:rPr>
        <w:t xml:space="preserve">AI declaration warning: </w:t>
      </w:r>
      <w:r>
        <w:rPr>
          <w:rFonts w:ascii="Calibri" w:cs="Calibri" w:eastAsia="Calibri" w:hAnsi="Calibri"/>
          <w:sz w:val="21"/>
          <w:szCs w:val="21"/>
        </w:rPr>
        <w:t xml:space="preserve">the brief allows AI only to review a draft or correct language, and requires you to declare it and keep your prompts. Check your module’s policy before submitting any text AI drafted.</w:t>
      </w:r>
    </w:p>
    <w:p>
      <w:pPr>
        <w:pStyle w:val="Heading1"/>
        <w:spacing w:after="120" w:before="300"/>
      </w:pPr>
      <w:r>
        <w:rPr>
          <w:rFonts w:ascii="Calibri" w:cs="Calibri" w:eastAsia="Calibri" w:hAnsi="Calibri"/>
          <w:b/>
          <w:bCs/>
          <w:color w:val="1F3864"/>
          <w:sz w:val="30"/>
          <w:szCs w:val="30"/>
        </w:rPr>
        <w:t xml:space="preserve">12. Sources used for this blueprint</w:t>
      </w:r>
    </w:p>
    <w:p>
      <w:pPr>
        <w:pStyle w:val="ListParagraph"/>
        <w:numPr>
          <w:ilvl w:val="0"/>
          <w:numId w:val="2"/>
        </w:numPr>
        <w:spacing w:after="40"/>
      </w:pPr>
      <w:hyperlink w:history="1" r:id="rId7tu2u9auvdtebgq1kwgkx">
        <w:r>
          <w:rPr>
            <w:rStyle w:val="Hyperlink"/>
            <w:rFonts w:ascii="Calibri" w:cs="Calibri" w:eastAsia="Calibri" w:hAnsi="Calibri"/>
            <w:sz w:val="19"/>
            <w:szCs w:val="19"/>
          </w:rPr>
          <w:t xml:space="preserve">Himal Press – Nepal CPI 2025</w:t>
        </w:r>
      </w:hyperlink>
    </w:p>
    <w:p>
      <w:pPr>
        <w:pStyle w:val="ListParagraph"/>
        <w:numPr>
          <w:ilvl w:val="0"/>
          <w:numId w:val="2"/>
        </w:numPr>
        <w:spacing w:after="40"/>
      </w:pPr>
      <w:hyperlink w:history="1" r:id="rIdghhymuux1usanuylte6e4">
        <w:r>
          <w:rPr>
            <w:rStyle w:val="Hyperlink"/>
            <w:rFonts w:ascii="Calibri" w:cs="Calibri" w:eastAsia="Calibri" w:hAnsi="Calibri"/>
            <w:sz w:val="19"/>
            <w:szCs w:val="19"/>
          </w:rPr>
          <w:t xml:space="preserve">B360 Nepal – CPI 2025</w:t>
        </w:r>
      </w:hyperlink>
    </w:p>
    <w:p>
      <w:pPr>
        <w:pStyle w:val="ListParagraph"/>
        <w:numPr>
          <w:ilvl w:val="0"/>
          <w:numId w:val="2"/>
        </w:numPr>
        <w:spacing w:after="40"/>
      </w:pPr>
      <w:hyperlink w:history="1" r:id="rIdny87tcj9peh8hrdynnzmf">
        <w:r>
          <w:rPr>
            <w:rStyle w:val="Hyperlink"/>
            <w:rFonts w:ascii="Calibri" w:cs="Calibri" w:eastAsia="Calibri" w:hAnsi="Calibri"/>
            <w:sz w:val="19"/>
            <w:szCs w:val="19"/>
          </w:rPr>
          <w:t xml:space="preserve">Nepal Rastra Bank – macroeconomic situation FY2025/26</w:t>
        </w:r>
      </w:hyperlink>
    </w:p>
    <w:p>
      <w:pPr>
        <w:pStyle w:val="ListParagraph"/>
        <w:numPr>
          <w:ilvl w:val="0"/>
          <w:numId w:val="2"/>
        </w:numPr>
        <w:spacing w:after="40"/>
      </w:pPr>
      <w:hyperlink w:history="1" r:id="rIdxznlgazcoh6vcr_3rbnyw">
        <w:r>
          <w:rPr>
            <w:rStyle w:val="Hyperlink"/>
            <w:rFonts w:ascii="Calibri" w:cs="Calibri" w:eastAsia="Calibri" w:hAnsi="Calibri"/>
            <w:sz w:val="19"/>
            <w:szCs w:val="19"/>
          </w:rPr>
          <w:t xml:space="preserve">Ekantipur – ADB growth projection 2026</w:t>
        </w:r>
      </w:hyperlink>
    </w:p>
    <w:p>
      <w:pPr>
        <w:pStyle w:val="ListParagraph"/>
        <w:numPr>
          <w:ilvl w:val="0"/>
          <w:numId w:val="2"/>
        </w:numPr>
        <w:spacing w:after="40"/>
      </w:pPr>
      <w:hyperlink w:history="1" r:id="rIdipyvobalsnktkpokwplb8">
        <w:r>
          <w:rPr>
            <w:rStyle w:val="Hyperlink"/>
            <w:rFonts w:ascii="Calibri" w:cs="Calibri" w:eastAsia="Calibri" w:hAnsi="Calibri"/>
            <w:sz w:val="19"/>
            <w:szCs w:val="19"/>
          </w:rPr>
          <w:t xml:space="preserve">Himal Press – Economic Survey 2025/26</w:t>
        </w:r>
      </w:hyperlink>
    </w:p>
    <w:p>
      <w:pPr>
        <w:pStyle w:val="ListParagraph"/>
        <w:numPr>
          <w:ilvl w:val="0"/>
          <w:numId w:val="2"/>
        </w:numPr>
        <w:spacing w:after="40"/>
      </w:pPr>
      <w:hyperlink w:history="1" r:id="rIddemmfakmkokvmaupbfqzw">
        <w:r>
          <w:rPr>
            <w:rStyle w:val="Hyperlink"/>
            <w:rFonts w:ascii="Calibri" w:cs="Calibri" w:eastAsia="Calibri" w:hAnsi="Calibri"/>
            <w:sz w:val="19"/>
            <w:szCs w:val="19"/>
          </w:rPr>
          <w:t xml:space="preserve">Sharesansar – macro summary, first 11 months</w:t>
        </w:r>
      </w:hyperlink>
    </w:p>
    <w:p>
      <w:pPr>
        <w:pStyle w:val="ListParagraph"/>
        <w:numPr>
          <w:ilvl w:val="0"/>
          <w:numId w:val="2"/>
        </w:numPr>
        <w:spacing w:after="40"/>
      </w:pPr>
      <w:hyperlink w:history="1" r:id="rIdd-1dz44ct71flurq-ogcc">
        <w:r>
          <w:rPr>
            <w:rStyle w:val="Hyperlink"/>
            <w:rFonts w:ascii="Calibri" w:cs="Calibri" w:eastAsia="Calibri" w:hAnsi="Calibri"/>
            <w:sz w:val="19"/>
            <w:szCs w:val="19"/>
          </w:rPr>
          <w:t xml:space="preserve">Kathmandu Post – LDC graduation deferral</w:t>
        </w:r>
      </w:hyperlink>
    </w:p>
    <w:p>
      <w:pPr>
        <w:pStyle w:val="ListParagraph"/>
        <w:numPr>
          <w:ilvl w:val="0"/>
          <w:numId w:val="2"/>
        </w:numPr>
        <w:spacing w:after="40"/>
      </w:pPr>
      <w:hyperlink w:history="1" r:id="rIdsui7dob3i0cuj4xcse4l2">
        <w:r>
          <w:rPr>
            <w:rStyle w:val="Hyperlink"/>
            <w:rFonts w:ascii="Calibri" w:cs="Calibri" w:eastAsia="Calibri" w:hAnsi="Calibri"/>
            <w:sz w:val="19"/>
            <w:szCs w:val="19"/>
          </w:rPr>
          <w:t xml:space="preserve">Credendo – Nepal political and risk analysis</w:t>
        </w:r>
      </w:hyperlink>
    </w:p>
    <w:p>
      <w:pPr>
        <w:pStyle w:val="ListParagraph"/>
        <w:numPr>
          <w:ilvl w:val="0"/>
          <w:numId w:val="2"/>
        </w:numPr>
        <w:spacing w:after="40"/>
      </w:pPr>
      <w:hyperlink w:history="1" r:id="rIdvqoqhczemo5mx_e7i7c1t">
        <w:r>
          <w:rPr>
            <w:rStyle w:val="Hyperlink"/>
            <w:rFonts w:ascii="Calibri" w:cs="Calibri" w:eastAsia="Calibri" w:hAnsi="Calibri"/>
            <w:sz w:val="19"/>
            <w:szCs w:val="19"/>
          </w:rPr>
          <w:t xml:space="preserve">Nitipartners – investing in Nepal as a foreigner</w:t>
        </w:r>
      </w:hyperlink>
    </w:p>
    <w:p>
      <w:pPr>
        <w:pStyle w:val="ListParagraph"/>
        <w:numPr>
          <w:ilvl w:val="0"/>
          <w:numId w:val="2"/>
        </w:numPr>
        <w:spacing w:after="40"/>
      </w:pPr>
      <w:hyperlink w:history="1" r:id="rIdgkw46hkgg-zlfdo0wtt53">
        <w:r>
          <w:rPr>
            <w:rStyle w:val="Hyperlink"/>
            <w:rFonts w:ascii="Calibri" w:cs="Calibri" w:eastAsia="Calibri" w:hAnsi="Calibri"/>
            <w:sz w:val="19"/>
            <w:szCs w:val="19"/>
          </w:rPr>
          <w:t xml:space="preserve">Pioneer Law – FITTA 2019</w:t>
        </w:r>
      </w:hyperlink>
    </w:p>
    <w:p>
      <w:pPr>
        <w:pStyle w:val="ListParagraph"/>
        <w:numPr>
          <w:ilvl w:val="0"/>
          <w:numId w:val="2"/>
        </w:numPr>
        <w:spacing w:after="40"/>
      </w:pPr>
      <w:hyperlink w:history="1" r:id="rId8az0beyra_gu1ocfa27lq">
        <w:r>
          <w:rPr>
            <w:rStyle w:val="Hyperlink"/>
            <w:rFonts w:ascii="Calibri" w:cs="Calibri" w:eastAsia="Calibri" w:hAnsi="Calibri"/>
            <w:sz w:val="19"/>
            <w:szCs w:val="19"/>
          </w:rPr>
          <w:t xml:space="preserve">Ekantipur – coffee demand and exports (July 2026)</w:t>
        </w:r>
      </w:hyperlink>
    </w:p>
    <w:p>
      <w:pPr>
        <w:pStyle w:val="ListParagraph"/>
        <w:numPr>
          <w:ilvl w:val="0"/>
          <w:numId w:val="2"/>
        </w:numPr>
        <w:spacing w:after="40"/>
      </w:pPr>
      <w:hyperlink w:history="1" r:id="rIduhpnm0dofecjp7-c0hagh">
        <w:r>
          <w:rPr>
            <w:rStyle w:val="Hyperlink"/>
            <w:rFonts w:ascii="Calibri" w:cs="Calibri" w:eastAsia="Calibri" w:hAnsi="Calibri"/>
            <w:sz w:val="19"/>
            <w:szCs w:val="19"/>
          </w:rPr>
          <w:t xml:space="preserve">Online Khabar – Nepal’s coffee paradox</w:t>
        </w:r>
      </w:hyperlink>
    </w:p>
    <w:p>
      <w:pPr>
        <w:pStyle w:val="ListParagraph"/>
        <w:numPr>
          <w:ilvl w:val="0"/>
          <w:numId w:val="2"/>
        </w:numPr>
        <w:spacing w:after="40"/>
      </w:pPr>
      <w:hyperlink w:history="1" r:id="rIdjxmooyzpuuuyvxkkls4xj">
        <w:r>
          <w:rPr>
            <w:rStyle w:val="Hyperlink"/>
            <w:rFonts w:ascii="Calibri" w:cs="Calibri" w:eastAsia="Calibri" w:hAnsi="Calibri"/>
            <w:sz w:val="19"/>
            <w:szCs w:val="19"/>
          </w:rPr>
          <w:t xml:space="preserve">Himalayan Times – tourism 2025</w:t>
        </w:r>
      </w:hyperlink>
    </w:p>
    <w:p>
      <w:pPr>
        <w:pStyle w:val="ListParagraph"/>
        <w:numPr>
          <w:ilvl w:val="0"/>
          <w:numId w:val="2"/>
        </w:numPr>
        <w:spacing w:after="40"/>
      </w:pPr>
      <w:hyperlink w:history="1" r:id="rIdrqnkohmx6_s9aoxzaovdj">
        <w:r>
          <w:rPr>
            <w:rStyle w:val="Hyperlink"/>
            <w:rFonts w:ascii="Calibri" w:cs="Calibri" w:eastAsia="Calibri" w:hAnsi="Calibri"/>
            <w:sz w:val="19"/>
            <w:szCs w:val="19"/>
          </w:rPr>
          <w:t xml:space="preserve">Kathmandu Post – tourists staying longer, spending less</w:t>
        </w:r>
      </w:hyperlink>
    </w:p>
    <w:p>
      <w:pPr>
        <w:pStyle w:val="ListParagraph"/>
        <w:numPr>
          <w:ilvl w:val="0"/>
          <w:numId w:val="2"/>
        </w:numPr>
        <w:spacing w:after="40"/>
      </w:pPr>
      <w:hyperlink w:history="1" r:id="rIduamqqo7azxiwl7adidre5">
        <w:r>
          <w:rPr>
            <w:rStyle w:val="Hyperlink"/>
            <w:rFonts w:ascii="Calibri" w:cs="Calibri" w:eastAsia="Calibri" w:hAnsi="Calibri"/>
            <w:sz w:val="19"/>
            <w:szCs w:val="19"/>
          </w:rPr>
          <w:t xml:space="preserve">Ekantipur – Kathmandu airport 2025 passenger numbers</w:t>
        </w:r>
      </w:hyperlink>
    </w:p>
    <w:p>
      <w:pPr>
        <w:pStyle w:val="ListParagraph"/>
        <w:numPr>
          <w:ilvl w:val="0"/>
          <w:numId w:val="2"/>
        </w:numPr>
        <w:spacing w:after="40"/>
      </w:pPr>
      <w:hyperlink w:history="1" r:id="rId63pdjpmpsp129wecqvxrm">
        <w:r>
          <w:rPr>
            <w:rStyle w:val="Hyperlink"/>
            <w:rFonts w:ascii="Calibri" w:cs="Calibri" w:eastAsia="Calibri" w:hAnsi="Calibri"/>
            <w:sz w:val="19"/>
            <w:szCs w:val="19"/>
          </w:rPr>
          <w:t xml:space="preserve">Sharesansar – September 2025 arrivals</w:t>
        </w:r>
      </w:hyperlink>
    </w:p>
    <w:p>
      <w:pPr>
        <w:pStyle w:val="ListParagraph"/>
        <w:numPr>
          <w:ilvl w:val="0"/>
          <w:numId w:val="2"/>
        </w:numPr>
        <w:spacing w:after="40"/>
      </w:pPr>
      <w:hyperlink w:history="1" r:id="rIdc5udk1xk9fsgg_s9aqtde">
        <w:r>
          <w:rPr>
            <w:rStyle w:val="Hyperlink"/>
            <w:rFonts w:ascii="Calibri" w:cs="Calibri" w:eastAsia="Calibri" w:hAnsi="Calibri"/>
            <w:sz w:val="19"/>
            <w:szCs w:val="19"/>
          </w:rPr>
          <w:t xml:space="preserve">Verdict Foodservice – Starbucks Laos</w:t>
        </w:r>
      </w:hyperlink>
    </w:p>
    <w:p>
      <w:pPr>
        <w:pStyle w:val="ListParagraph"/>
        <w:numPr>
          <w:ilvl w:val="0"/>
          <w:numId w:val="2"/>
        </w:numPr>
        <w:spacing w:after="40"/>
      </w:pPr>
      <w:hyperlink w:history="1" r:id="rId8py_vglikipygji1hc5vf">
        <w:r>
          <w:rPr>
            <w:rStyle w:val="Hyperlink"/>
            <w:rFonts w:ascii="Calibri" w:cs="Calibri" w:eastAsia="Calibri" w:hAnsi="Calibri"/>
            <w:sz w:val="19"/>
            <w:szCs w:val="19"/>
          </w:rPr>
          <w:t xml:space="preserve">Al Jazeera – Starbucks China stake sale</w:t>
        </w:r>
      </w:hyperlink>
    </w:p>
    <w:p>
      <w:pPr>
        <w:pStyle w:val="ListParagraph"/>
        <w:numPr>
          <w:ilvl w:val="0"/>
          <w:numId w:val="2"/>
        </w:numPr>
        <w:spacing w:after="40"/>
      </w:pPr>
      <w:hyperlink w:history="1" r:id="rId-4lxsfkdevlhfjzbkf2ip">
        <w:r>
          <w:rPr>
            <w:rStyle w:val="Hyperlink"/>
            <w:rFonts w:ascii="Calibri" w:cs="Calibri" w:eastAsia="Calibri" w:hAnsi="Calibri"/>
            <w:sz w:val="19"/>
            <w:szCs w:val="19"/>
          </w:rPr>
          <w:t xml:space="preserve">Sharesansar – Everest Coffee Beans franchise outlet</w:t>
        </w:r>
      </w:hyperlink>
    </w:p>
    <w:p>
      <w:pPr>
        <w:pStyle w:val="ListParagraph"/>
        <w:numPr>
          <w:ilvl w:val="0"/>
          <w:numId w:val="2"/>
        </w:numPr>
        <w:spacing w:after="40"/>
      </w:pPr>
      <w:hyperlink w:history="1" r:id="rId-y-2ye2-bczbeezk9t_1n">
        <w:r>
          <w:rPr>
            <w:rStyle w:val="Hyperlink"/>
            <w:rFonts w:ascii="Calibri" w:cs="Calibri" w:eastAsia="Calibri" w:hAnsi="Calibri"/>
            <w:sz w:val="19"/>
            <w:szCs w:val="19"/>
          </w:rPr>
          <w:t xml:space="preserve">ResearchGate – Hofstede and NABIL Bank, Nepal</w:t>
        </w:r>
      </w:hyperlink>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7tu2u9auvdtebgq1kwgkx" Type="http://schemas.openxmlformats.org/officeDocument/2006/relationships/hyperlink" Target="https://en.himalpress.com/nepals-score-in-cpi-remains-unchanged-at-34/" TargetMode="External"/><Relationship Id="rIdghhymuux1usanuylte6e4" Type="http://schemas.openxmlformats.org/officeDocument/2006/relationships/hyperlink" Target="https://www.b360nepal.com/detail/27689/nepal-scores-34-in-2025-corruption-perceptions-index-remains-109th" TargetMode="External"/><Relationship Id="rIdny87tcj9peh8hrdynnzmf" Type="http://schemas.openxmlformats.org/officeDocument/2006/relationships/hyperlink" Target="https://www.nrb.org.np/red/current-macroeconomic-and-financial-situation-english-based-on-annual-data-of-2025-26/" TargetMode="External"/><Relationship Id="rIdxznlgazcoh6vcr_3rbnyw" Type="http://schemas.openxmlformats.org/officeDocument/2006/relationships/hyperlink" Target="https://ekantipur.com/business/2026/04/10/en/nepals-economic-growth-limited-to-27-percent-in-2026-25-11.html" TargetMode="External"/><Relationship Id="rIdipyvobalsnktkpokwplb8" Type="http://schemas.openxmlformats.org/officeDocument/2006/relationships/hyperlink" Target="https://en.himalpress.com/major-highlights-of-economic-survey-2025-26/" TargetMode="External"/><Relationship Id="rIddemmfakmkokvmaupbfqzw" Type="http://schemas.openxmlformats.org/officeDocument/2006/relationships/hyperlink" Target="https://www.sharesansar.com/newsdetail/macroeconomic-summary-of-first-11-months-inflation-at-522-remittances-rises-by-382-foreign-currency-enough-to-cover-191-months-import-2026-07-14" TargetMode="External"/><Relationship Id="rIdd-1dz44ct71flurq-ogcc" Type="http://schemas.openxmlformats.org/officeDocument/2006/relationships/hyperlink" Target="https://kathmandupost.com/money/2026/05/22/nepal-moves-to-defer-ldc-graduation-until-2029" TargetMode="External"/><Relationship Id="rIdsui7dob3i0cuj4xcse4l2" Type="http://schemas.openxmlformats.org/officeDocument/2006/relationships/hyperlink" Target="https://credendo.com/en/node/1245" TargetMode="External"/><Relationship Id="rIdvqoqhczemo5mx_e7i7c1t" Type="http://schemas.openxmlformats.org/officeDocument/2006/relationships/hyperlink" Target="https://nitipartners.com/how-to-invest-in-nepal-as-a-foreigner/" TargetMode="External"/><Relationship Id="rIdgkw46hkgg-zlfdo0wtt53" Type="http://schemas.openxmlformats.org/officeDocument/2006/relationships/hyperlink" Target="https://pioneerlaw.com/resource/foreign-investment-and-transfer-of-technology-act-2019/" TargetMode="External"/><Relationship Id="rId8az0beyra_gu1ocfa27lq" Type="http://schemas.openxmlformats.org/officeDocument/2006/relationships/hyperlink" Target="https://ekantipur.com/business/2026/07/03/en/demand-exceeds-coffee-production-leading-to-high-export-prices-52-29.html" TargetMode="External"/><Relationship Id="rIduhpnm0dofecjp7-c0hagh" Type="http://schemas.openxmlformats.org/officeDocument/2006/relationships/hyperlink" Target="https://english.onlinekhabar.com/nepals-coffee-paradox-imports-outweigh-exports-despite-local-production.html" TargetMode="External"/><Relationship Id="rIdjxmooyzpuuuyvxkkls4xj" Type="http://schemas.openxmlformats.org/officeDocument/2006/relationships/hyperlink" Target="https://thehimalayantimes.com/business/nepals-tourism-records-modest-growth-in-2025-reaches-968-of-pre-pandemic-levels" TargetMode="External"/><Relationship Id="rIdrqnkohmx6_s9aoxzaovdj" Type="http://schemas.openxmlformats.org/officeDocument/2006/relationships/hyperlink" Target="https://kathmandupost.com/money/2026/07/21/foreign-tourists-are-staying-longer-but-spending-less-in-nepal" TargetMode="External"/><Relationship Id="rIduamqqo7azxiwl7adidre5" Type="http://schemas.openxmlformats.org/officeDocument/2006/relationships/hyperlink" Target="https://ekantipur.com/news/2026/01/14/en/tribhuvan-international-airport-to-handle-over-97-million-passengers-138000-flights-in-2025-27-21.html" TargetMode="External"/><Relationship Id="rId63pdjpmpsp129wecqvxrm" Type="http://schemas.openxmlformats.org/officeDocument/2006/relationships/hyperlink" Target="https://www.sharesansar.com/newsdetail/nepal-records-78711-tourist-arrivals-in-september-down-183-from-last-year-2025-10-08" TargetMode="External"/><Relationship Id="rIdc5udk1xk9fsgg_s9aqtde" Type="http://schemas.openxmlformats.org/officeDocument/2006/relationships/hyperlink" Target="https://www.verdictfoodservice.com/news/starbucks-expand-laos" TargetMode="External"/><Relationship Id="rId8py_vglikipygji1hc5vf" Type="http://schemas.openxmlformats.org/officeDocument/2006/relationships/hyperlink" Target="https://www.aljazeera.com/news/2025/11/4/starbucks-sells-majority-stake-in-china-business-as-it-eyes-expansion" TargetMode="External"/><Relationship Id="rId-4lxsfkdevlhfjzbkf2ip" Type="http://schemas.openxmlformats.org/officeDocument/2006/relationships/hyperlink" Target="https://www.sharesansar.com/newsdetail/everest-coffee-beans-franchise-outlet-inaugurated-in-anamnagar-kathmandu-2026-05-10" TargetMode="External"/><Relationship Id="rId-y-2ye2-bczbeezk9t_1n" Type="http://schemas.openxmlformats.org/officeDocument/2006/relationships/hyperlink" Target="https://www.researchgate.net/publication/336529744_Hofstede&apos;s_Cultural_Dimension_after_35_years_Business_Practices_and_Paradoxical_Proverbs_in_Nepal_A_Case_of_NABIL_Bank" TargetMode="External"/><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Starbucks Nepal Blueprint</dc:title>
  <dc:creator>Blueprint</dc:creator>
  <cp:lastModifiedBy>Un-named</cp:lastModifiedBy>
  <cp:revision>1</cp:revision>
  <dcterms:created xsi:type="dcterms:W3CDTF">2026-10-14T02:01:10.565Z</dcterms:created>
  <dcterms:modified xsi:type="dcterms:W3CDTF">2026-10-14T02:01:10.565Z</dcterms:modified>
</cp:coreProperties>
</file>

<file path=docProps/custom.xml><?xml version="1.0" encoding="utf-8"?>
<Properties xmlns="http://schemas.openxmlformats.org/officeDocument/2006/custom-properties" xmlns:vt="http://schemas.openxmlformats.org/officeDocument/2006/docPropsVTypes"/>
</file>