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Promise</w:t>
      </w:r>
      <w:r>
        <w:t xml:space="preserve"> </w:t>
      </w:r>
      <w:r>
        <w:t xml:space="preserve">and</w:t>
      </w:r>
      <w:r>
        <w:t xml:space="preserve"> </w:t>
      </w:r>
      <w:r>
        <w:t xml:space="preserve">Proof:</w:t>
      </w:r>
      <w:r>
        <w:t xml:space="preserve"> </w:t>
      </w:r>
      <w:r>
        <w:t xml:space="preserve">a</w:t>
      </w:r>
      <w:r>
        <w:t xml:space="preserve"> </w:t>
      </w:r>
      <w:r>
        <w:t xml:space="preserve">consultancy</w:t>
      </w:r>
      <w:r>
        <w:t xml:space="preserve"> </w:t>
      </w:r>
      <w:r>
        <w:t xml:space="preserve">review</w:t>
      </w:r>
      <w:r>
        <w:t xml:space="preserve"> </w:t>
      </w:r>
      <w:r>
        <w:t xml:space="preserve">of</w:t>
      </w:r>
      <w:r>
        <w:t xml:space="preserve"> </w:t>
      </w:r>
      <w:r>
        <w:t xml:space="preserve">guest</w:t>
      </w:r>
      <w:r>
        <w:t xml:space="preserve"> </w:t>
      </w:r>
      <w:r>
        <w:t xml:space="preserve">experience</w:t>
      </w:r>
      <w:r>
        <w:t xml:space="preserve"> </w:t>
      </w:r>
      <w:r>
        <w:t xml:space="preserve">and</w:t>
      </w:r>
      <w:r>
        <w:t xml:space="preserve"> </w:t>
      </w:r>
      <w:r>
        <w:t xml:space="preserve">food</w:t>
      </w:r>
      <w:r>
        <w:t xml:space="preserve"> </w:t>
      </w:r>
      <w:r>
        <w:t xml:space="preserve">&amp;</w:t>
      </w:r>
      <w:r>
        <w:t xml:space="preserve"> </w:t>
      </w:r>
      <w:r>
        <w:t xml:space="preserve">beverage</w:t>
      </w:r>
      <w:r>
        <w:t xml:space="preserve"> </w:t>
      </w:r>
      <w:r>
        <w:t xml:space="preserve">at</w:t>
      </w:r>
      <w:r>
        <w:t xml:space="preserve"> </w:t>
      </w:r>
      <w:r>
        <w:t xml:space="preserve">Meliá</w:t>
      </w:r>
      <w:r>
        <w:t xml:space="preserve"> </w:t>
      </w:r>
      <w:r>
        <w:t xml:space="preserve">White</w:t>
      </w:r>
      <w:r>
        <w:t xml:space="preserve"> </w:t>
      </w:r>
      <w:r>
        <w:t xml:space="preserve">House,</w:t>
      </w:r>
      <w:r>
        <w:t xml:space="preserve"> </w:t>
      </w:r>
      <w:r>
        <w:t xml:space="preserve">London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Word count (excluding title page, contents, references and appendices): approximately 2,800</w:t>
      </w:r>
    </w:p>
    <w:p>
      <w:pPr>
        <w:pStyle w:val="BodyText"/>
      </w:pPr>
      <w:r>
        <w:rPr>
          <w:bCs/>
          <w:b/>
        </w:rPr>
        <w:t xml:space="preserve">Draft status:</w:t>
      </w:r>
      <w:r>
        <w:t xml:space="preserve"> </w:t>
      </w:r>
      <w:r>
        <w:t xml:space="preserve">items in [SQUARE BRACKETS] need your own data or verification before use. AI assistance was used for drafting; declare it as your institution requires.</w:t>
      </w:r>
    </w:p>
    <w:bookmarkStart w:id="20" w:name="introduction"/>
    <w:p>
      <w:pPr>
        <w:pStyle w:val="Heading2"/>
      </w:pPr>
      <w:r>
        <w:t xml:space="preserve">1. Introduction</w:t>
      </w:r>
    </w:p>
    <w:p>
      <w:pPr>
        <w:pStyle w:val="FirstParagraph"/>
      </w:pPr>
      <w:r>
        <w:t xml:space="preserve">Meliá White House is a Grade II listed 1930s building on Albany Street, London, operated by Meliá since 1999. Meliá reports a £40m, five-year renovation completed while the hotel kept trading (Hospitality Net, 2023), and Business Traveller (2024) dates completion to April 2023. The hotel now sells itself as premium.</w:t>
      </w:r>
    </w:p>
    <w:p>
      <w:pPr>
        <w:pStyle w:val="BodyText"/>
      </w:pPr>
      <w:r>
        <w:t xml:space="preserve">The question is whether the hotel keeps that promise at every point a guest touches, and if not, what is the cheapest way to close the gap. The aim is to assess how consistently the post-renovation strategy reaches the guest, using food and beverage (F&amp;B) as the main lens, and to recommend practical, costed fixes. Four objectives follow:</w:t>
      </w:r>
    </w:p>
    <w:p>
      <w:pPr>
        <w:numPr>
          <w:ilvl w:val="0"/>
          <w:numId w:val="1001"/>
        </w:numPr>
        <w:pStyle w:val="Compact"/>
      </w:pPr>
      <w:r>
        <w:t xml:space="preserve">Which lenses from the literature suit the problem? (Chapter 3)</w:t>
      </w:r>
    </w:p>
    <w:p>
      <w:pPr>
        <w:numPr>
          <w:ilvl w:val="0"/>
          <w:numId w:val="1001"/>
        </w:numPr>
        <w:pStyle w:val="Compact"/>
      </w:pPr>
      <w:r>
        <w:t xml:space="preserve">Were four management decisions good enterprise choices? (Chapter 4)</w:t>
      </w:r>
    </w:p>
    <w:p>
      <w:pPr>
        <w:numPr>
          <w:ilvl w:val="0"/>
          <w:numId w:val="1001"/>
        </w:numPr>
        <w:pStyle w:val="Compact"/>
      </w:pPr>
      <w:r>
        <w:t xml:space="preserve">How well do those decisions work, judged by visit evidence, documents and a coded review sample? (Chapter 5)</w:t>
      </w:r>
    </w:p>
    <w:p>
      <w:pPr>
        <w:numPr>
          <w:ilvl w:val="0"/>
          <w:numId w:val="1001"/>
        </w:numPr>
        <w:pStyle w:val="Compact"/>
      </w:pPr>
      <w:r>
        <w:t xml:space="preserve">What four fixes are costed, timed and measurable? (Chapter 6)</w:t>
      </w:r>
    </w:p>
    <w:p>
      <w:pPr>
        <w:pStyle w:val="FirstParagraph"/>
      </w:pPr>
      <w:r>
        <w:t xml:space="preserve">The argument is that Meliá White House delivers its premium promise where guests look first (public spaces, breakfast, staff) and under-delivers where they look closely (condition and consistency), which matters more at a £300 room rate than at £117. Chapter 2 sets out the method, Chapters 3 and 4 the tools and decisions, Chapter 5 the evidence, and Chapters 6 and 7 the recommendations and conclusion.</w:t>
      </w:r>
    </w:p>
    <w:bookmarkEnd w:id="20"/>
    <w:bookmarkStart w:id="21" w:name="approach-and-methods"/>
    <w:p>
      <w:pPr>
        <w:pStyle w:val="Heading2"/>
      </w:pPr>
      <w:r>
        <w:t xml:space="preserve">2. Approach and methods</w:t>
      </w:r>
    </w:p>
    <w:p>
      <w:pPr>
        <w:pStyle w:val="FirstParagraph"/>
      </w:pPr>
      <w:r>
        <w:t xml:space="preserve">The work follows five consulting stages: entry, diagnosis, data gathering, feedback and recommendations. Greiner and Metzger (1983) supply the staged logic, and Cope (2003) stresses that a consultant’s credibility and communication decide whether advice is used. A student consultant lacks both a contract and a client feedback loop, so entry and feedback are simulated, and the report claims diagnosis and recommendation only. This is an appraisal of the process, not a defence of it: the weakest stage is feedback, since no client has tested the findings.</w:t>
      </w:r>
    </w:p>
    <w:p>
      <w:pPr>
        <w:pStyle w:val="BodyText"/>
      </w:pPr>
      <w:r>
        <w:t xml:space="preserve">The design is a single-case study (Yin, 2018). One hotel gives depth over breadth, which suits a question about consistency across touchpoints, but it limits generalisation.</w:t>
      </w:r>
    </w:p>
    <w:p>
      <w:pPr>
        <w:pStyle w:val="BodyText"/>
      </w:pPr>
      <w:r>
        <w:t xml:space="preserve">Primary data came from non-participant observation and photographs on a hosted tour on 9 September 2025 [CONFIRM AGAINST YOUR NOTES] (Veal, 2017), and from an informal staff session. That session focused on careers and the tour was hosted, so the visit was not neutral: it showed a managed version of the hotel. Staff remarks are paraphrased, not treated as policy.</w:t>
      </w:r>
    </w:p>
    <w:p>
      <w:pPr>
        <w:pStyle w:val="BodyText"/>
      </w:pPr>
      <w:r>
        <w:t xml:space="preserve">Secondary data comprised Camden Council planning documents, Meliá press material, trade press, Brand Finance and S&amp;P coverage, and a coded sample of online reviews analysed thematically (Braun and Clarke, 2006). Following Denzin (1978) and Bryman and Bell (2015), each claim is checked against at least two source types, because no single source here is free of bias.</w:t>
      </w:r>
    </w:p>
    <w:p>
      <w:pPr>
        <w:pStyle w:val="BodyText"/>
      </w:pPr>
      <w:r>
        <w:t xml:space="preserve">The limits are specific. There was one visit and one managed tour. Management accounts were unavailable. Corporate sources are promotional, and the review sample of 36 [CONFIRM FINAL NUMBER] is self-selected and indicative only (Litvin, Goldsmith and Pan, 2008). Sources also conflict: Meliá’s press material gives 581 bedrooms, while a Camden Council document gives 548 (Camden Council, 2025). Both are reported and neither is chosen silently. No identifiable staff or guests appear in any photograph, and reviews are paraphrased and cited by platform and month only. Appendix 2 maps each source.</w:t>
      </w:r>
    </w:p>
    <w:bookmarkEnd w:id="21"/>
    <w:bookmarkStart w:id="22" w:name="six-lenses"/>
    <w:p>
      <w:pPr>
        <w:pStyle w:val="Heading2"/>
      </w:pPr>
      <w:r>
        <w:t xml:space="preserve">3. Six lenses</w:t>
      </w:r>
    </w:p>
    <w:p>
      <w:pPr>
        <w:pStyle w:val="FirstParagraph"/>
      </w:pPr>
      <w:r>
        <w:t xml:space="preserve">Six lenses are used because each reappears in the decisions and recommendations that follow.</w:t>
      </w:r>
    </w:p>
    <w:p>
      <w:pPr>
        <w:pStyle w:val="BodyText"/>
      </w:pPr>
      <w:r>
        <w:rPr>
          <w:bCs/>
          <w:b/>
        </w:rPr>
        <w:t xml:space="preserve">Technical and functional quality.</w:t>
      </w:r>
      <w:r>
        <w:t xml:space="preserve"> </w:t>
      </w:r>
      <w:r>
        <w:t xml:space="preserve">Grönroos (1984) separates what is delivered (the room, the food) from how it is delivered (manner and responsiveness). Pizam and Ellis (1999) counter that hospitality satisfaction is multi-attribute in practice, so the two sides blur. Read together, they suggest the hotel’s strength lies in process and its weakness in outcome details. The distinction matters for a consultant because the two sides are fixed by different teams: process by training and supervision, outcomes by engineering and housekeeping standards. This lens sorts the evidence.</w:t>
      </w:r>
    </w:p>
    <w:p>
      <w:pPr>
        <w:pStyle w:val="BodyText"/>
      </w:pPr>
      <w:r>
        <w:rPr>
          <w:bCs/>
          <w:b/>
        </w:rPr>
        <w:t xml:space="preserve">Must-be, performance and delight.</w:t>
      </w:r>
      <w:r>
        <w:t xml:space="preserve"> </w:t>
      </w:r>
      <w:r>
        <w:t xml:space="preserve">Kano et al. (1984) hold that some features are expected and invisible when present, while others delight. Categories are normally set by survey and shift by guest type, so here they are inferred from reviews and photographs, and the report says so. A clean lift and grille are must-be, while Arado and Spanish cava are attractive. Adding delight on top of cracked basics wastes money. The framework also warns that today’s delight becomes tomorrow’s expectation, so Arado’s success raises the bar for the rooms.</w:t>
      </w:r>
    </w:p>
    <w:p>
      <w:pPr>
        <w:pStyle w:val="BodyText"/>
      </w:pPr>
      <w:r>
        <w:rPr>
          <w:bCs/>
          <w:b/>
        </w:rPr>
        <w:t xml:space="preserve">The setting.</w:t>
      </w:r>
      <w:r>
        <w:t xml:space="preserve"> </w:t>
      </w:r>
      <w:r>
        <w:t xml:space="preserve">Turley and Milliman (2000) treat atmosphere as a driver of behaviour, but their evidence comes largely from retail. Poria, Butler and Airey (2003) suggest heritage visitors value a personal link with the past, so worn fabric can read as character. The same patina can equally read as neglect once the guest has paid a premium rate. The lens tests cornices and oak against a tarnished lift door and a dusty grille. A fair reading must also allow that guests differ: those who chose the hotel for its heritage may forgive what others notice at once.</w:t>
      </w:r>
    </w:p>
    <w:p>
      <w:pPr>
        <w:pStyle w:val="BodyText"/>
      </w:pPr>
      <w:r>
        <w:rPr>
          <w:bCs/>
          <w:b/>
        </w:rPr>
        <w:t xml:space="preserve">Value and fairness.</w:t>
      </w:r>
      <w:r>
        <w:t xml:space="preserve"> </w:t>
      </w:r>
      <w:r>
        <w:t xml:space="preserve">Zeithaml (1988) places value in the guest’s head, so it differs between guests. Xia, Monroe and Cox (2004) add that price differences are judged for fairness, while Kimes (2002) notes that yield pricing is rational for the hotel yet can feel unfair. Rooms quoted at about £300 on the visit and about £117 on booking sites [VERIFY BOTH] create guests with very different yardsticks. The same lift door can therefore be forgiven at one price and resented at another, which helps explain mixed reviews of the same building.</w:t>
      </w:r>
    </w:p>
    <w:p>
      <w:pPr>
        <w:pStyle w:val="BodyText"/>
      </w:pPr>
      <w:r>
        <w:rPr>
          <w:bCs/>
          <w:b/>
        </w:rPr>
        <w:t xml:space="preserve">Positioning.</w:t>
      </w:r>
      <w:r>
        <w:t xml:space="preserve"> </w:t>
      </w:r>
      <w:r>
        <w:t xml:space="preserve">Kim and Mauborgne (2004) reward standing out by raising what guests value, whereas Treacy and Wiersema (1993) warn that a firm should excel at one value discipline. Blue-ocean claims also rest on selected success cases. The lens asks whether a premium, heritage and Spanish-food story is too ambitious to hold across every touchpoint. Both authors agree that a position needs coherence, which is the test applied below.</w:t>
      </w:r>
    </w:p>
    <w:p>
      <w:pPr>
        <w:pStyle w:val="BodyText"/>
      </w:pPr>
      <w:r>
        <w:rPr>
          <w:bCs/>
          <w:b/>
        </w:rPr>
        <w:t xml:space="preserve">Service recovery.</w:t>
      </w:r>
      <w:r>
        <w:t xml:space="preserve"> </w:t>
      </w:r>
      <w:r>
        <w:t xml:space="preserve">Smith, Bolton and Wagner (1999) show that how a failure is put right shapes later satisfaction, yet McCollough, Berry and Yadav (2000) caution that recovery cannot substitute for reliability. The lens is applied to the breakfast disruption. Because the evidence is a single review, it is used cautiously, to shape a protocol rather than to judge past performance.</w:t>
      </w:r>
    </w:p>
    <w:p>
      <w:pPr>
        <w:pStyle w:val="BodyText"/>
      </w:pPr>
      <w:r>
        <w:t xml:space="preserve">Together the lenses form a chain: Grönroos classifies what was seen, Kano ranks its importance, the setting and value lenses explain why it matters at this price, positioning asks whether the strategy can hold, and recovery asks how failure is handled.</w:t>
      </w:r>
    </w:p>
    <w:bookmarkEnd w:id="22"/>
    <w:bookmarkStart w:id="23" w:name="four-decisions-analysed"/>
    <w:p>
      <w:pPr>
        <w:pStyle w:val="Heading2"/>
      </w:pPr>
      <w:r>
        <w:t xml:space="preserve">4. Four decisions analysed</w:t>
      </w:r>
    </w:p>
    <w:p>
      <w:pPr>
        <w:pStyle w:val="FirstParagraph"/>
      </w:pPr>
      <w:r>
        <w:rPr>
          <w:bCs/>
          <w:b/>
        </w:rPr>
        <w:t xml:space="preserve">Decision 1: the big bet.</w:t>
      </w:r>
      <w:r>
        <w:t xml:space="preserve"> </w:t>
      </w:r>
      <w:r>
        <w:t xml:space="preserve">Meliá reports £40m invested over five years while the hotel stayed open (Hospitality Net, 2023). Grant (1991) would treat a Grade II listed building as a scarce resource that rivals cannot copy. Eisenhardt and Martin (2000) frame renovating while trading as a capability, because revenue and learning continue. Poria et al. (2003) question whether guests actually value heritage, and the lift door and grille (Figs. 1 and 6) show how quickly heritage becomes a liability if it is not maintained. Reviews that mention faults or disruption [INSERT COUNT FROM APPENDIX 4] suggest guests absorbed part of the cost, and Camden filings show works continuing in 2025, including a Wing A refurbishment and a basement conversion (Camden Council, 2025) [CHECK]. The verdict is that the asset justified the bet, but trading through works moved the cost onto guests, and a £40m spend only protects value if standards are then sustained. Put simply, the building is the hotel’s moat only for as long as it looks cared for, and the renovation creates an obligation to maintain it, not merely to reach a standard once.</w:t>
      </w:r>
    </w:p>
    <w:p>
      <w:pPr>
        <w:pStyle w:val="BodyText"/>
      </w:pPr>
      <w:r>
        <w:rPr>
          <w:bCs/>
          <w:b/>
        </w:rPr>
        <w:t xml:space="preserve">Decision 2: the Spanish signature.</w:t>
      </w:r>
      <w:r>
        <w:t xml:space="preserve"> </w:t>
      </w:r>
      <w:r>
        <w:t xml:space="preserve">Arado, the buffet, Spanish wines and organic cava give the hotel a distinct food and drink identity. Kim and Mauborgne (2004) would praise the distinctiveness, but Treacy and Wiersema (1993) would ask whether it is carried through everywhere. The buffet counter with GMED oils and Real Crisps and the organic cava on ice (Figs. 2 and 3) show the concept working where guests can see it. Buffet operations depend on consistent replenishment and presentation (Davis et al., 2018) [CHECK PAGE], which the lit shelving suggests was achieved on the visit. Breakfast is the most praised item in the review sample [INSERT COUNT]. The concept breaks in the room, where instant coffee (Fig. 5) contradicts the Spanish, premium identity. The verdict is that the signature is a good bet, undermined by a fixable inconsistency, and Gentile, Spiller and Noci (2007) explain why it matters: experience is built from many components, so a weak one dilutes the rest. A guest who enjoys Spanish oils and cava at breakfast will compare the room’s coffee against that standard, not against a generic hotel, so the inconsistency costs more here than it would at a hotel without the concept. The fix is modest, since a Spanish coffee or tea offer extends an existing supplier relationship rather than creating a new concept.</w:t>
      </w:r>
    </w:p>
    <w:p>
      <w:pPr>
        <w:pStyle w:val="BodyText"/>
      </w:pPr>
      <w:r>
        <w:rPr>
          <w:bCs/>
          <w:b/>
        </w:rPr>
        <w:t xml:space="preserve">Decision 3: The Level and public co-working.</w:t>
      </w:r>
      <w:r>
        <w:t xml:space="preserve"> </w:t>
      </w:r>
      <w:r>
        <w:t xml:space="preserve">Business Traveller (2024) reports ten workspaces from £40 a day, with 10% off at Arado and ’35 Bar. Ansoff (1957) would call this related diversification, selling a new offer into familiar markets and assets. Drucker (1985) sees innovation in under-used resources, and a quiet lounge fits that description. Olsen, West and Tse (2008) add that diversification should reinforce the core. The lounge and communal table (Fig. 4) and ’35 Bar (Fig. 8) show a flexible work-and-dine space with a second outlet. The verdict is that this is a smart use of space and a sensible cross-selling lever, but usage and revenue are unknown, and the trade press source may carry partner input. The evidence supports intent, not performance, which is why Recommendation 4 tracks it. The ten desks are also a small share of a hotel with several hundred rooms, so the initiative is better read as a way of drawing local professionals into Arado and ’35 Bar than as a major revenue line. Without redemption data the discount cannot be judged either a sensible cross-selling lever or a giveaway to people who would have bought anyway.</w:t>
      </w:r>
    </w:p>
    <w:p>
      <w:pPr>
        <w:pStyle w:val="BodyText"/>
      </w:pPr>
      <w:r>
        <w:rPr>
          <w:bCs/>
          <w:b/>
        </w:rPr>
        <w:t xml:space="preserve">Decision 4: the premium badge.</w:t>
      </w:r>
      <w:r>
        <w:t xml:space="preserve"> </w:t>
      </w:r>
      <w:r>
        <w:t xml:space="preserve">Brand Finance coverage reports that premium and luxury hotels make up about 65% of Meliá’s portfolio, and S&amp;P coverage cites a sustainability ranking (Journal des Palaces, 2026; Breaking Travel News, 2026) [VERIFY BOTH]. These are corporate or ranking claims, not audits. Zeithaml (1988) and Xia et al. (2004) suggest that a premium badge raises the standard against which every detail is judged, particularly at £300 rather than £117. Manaktola and Jauhari (2007) find that guests’ green attitudes do not always translate into choices, so sustainability should be supporting value, not the lead. The verdict is that the badge is a promise the hotel must now prove room by room, and the group claims say little about this property. A brand that wanted guests to credit its green record would need visible, repeated cues, and a single organic product offers little. The decision is best read as group-level brand positioning with limited evidence of guest-level effect at this property.</w:t>
      </w:r>
    </w:p>
    <w:bookmarkEnd w:id="23"/>
    <w:bookmarkStart w:id="24" w:name="how-well-is-it-working"/>
    <w:p>
      <w:pPr>
        <w:pStyle w:val="Heading2"/>
      </w:pPr>
      <w:r>
        <w:t xml:space="preserve">5. How well is it working?</w:t>
      </w:r>
    </w:p>
    <w:p>
      <w:pPr>
        <w:pStyle w:val="FirstParagraph"/>
      </w:pPr>
      <w:r>
        <w:t xml:space="preserve">The three evidence types agree on the pattern. The visit, the documents and the reviews all show strength in public spaces, breakfast and staff, and weakness in condition and consistency. Observation shows the intended design, the reviews show lived experience, and the documents show what the hotel says it has done. Where they disagree, the report gives more weight to repeated guest accounts than to a single promotional claim. They disagree on scale: the visit and photographs show small, visible faults, whereas the press material promises that the hotel exceeds expectations. Triangulation here is a credibility check, not statistical proof.</w:t>
      </w:r>
    </w:p>
    <w:p>
      <w:pPr>
        <w:pStyle w:val="BodyText"/>
      </w:pPr>
      <w:r>
        <w:t xml:space="preserve">The review sample is indicative, not representative (Litvin et al., 2008). Across 36 reviews [CONFIRM], touchpoints drew [X] positive and [Y] negative mentions, and the largest negative cluster concerned [INSERT FROM YOUR CHART] (Appendix 4). The chart cannot show how common these experiences are among all guests, only which themes recur in the sample.</w:t>
      </w:r>
    </w:p>
    <w:p>
      <w:pPr>
        <w:pStyle w:val="BodyText"/>
      </w:pPr>
      <w:r>
        <w:t xml:space="preserve">Appendix 5 sets promise against proof. Two rows matter most. The promise of a consistent Meliá standard at breakfast sits against a review reporting breakfast moved offsite after an electrical fault, rated red, although it rests on one review and needs corroboration. The premium promise sits against a tarnished lift door and a dusty grille (Figs. 1 and 6), rated amber. Both are small things, and at a £300 rate they are expensive, because Zeithaml (1988) implies the guest paying more expects more. Using Kano’s logic, these are must-be failures, and the lens explains why they outweigh the delight delivered by Arado.</w:t>
      </w:r>
    </w:p>
    <w:p>
      <w:pPr>
        <w:pStyle w:val="BodyText"/>
      </w:pPr>
      <w:r>
        <w:t xml:space="preserve">Zomerdijk and Voss (2010) treat the journey as a chain of touchpoints, and the weakest touchpoint shapes the memory, so one tarnished lift can outweigh an excellent breakfast. Staff are named in positive reviews, which is a clear strength. Schneider and Bowen (1993) link staff experience to guest satisfaction, but the causality is weakly supported, so this is context, not proof.</w:t>
      </w:r>
    </w:p>
    <w:p>
      <w:pPr>
        <w:pStyle w:val="BodyText"/>
      </w:pPr>
      <w:r>
        <w:t xml:space="preserve">In Grönroos’s terms, the hotel’s functional quality (staff and process) is strong and its technical quality (condition) is uneven. The strategy works at the headline touchpoints and underdelivers on consistency. That is encouraging for management, because failures of technical quality respond to routine checklist control rather than capital spend. The findings therefore describe maintenance of a largely successful repositioning, not a case for rethinking it.</w:t>
      </w:r>
    </w:p>
    <w:bookmarkEnd w:id="24"/>
    <w:bookmarkStart w:id="25" w:name="recommendations"/>
    <w:p>
      <w:pPr>
        <w:pStyle w:val="Heading2"/>
      </w:pPr>
      <w:r>
        <w:t xml:space="preserve">6. Recommendations</w:t>
      </w:r>
    </w:p>
    <w:p>
      <w:pPr>
        <w:pStyle w:val="FirstParagraph"/>
      </w:pPr>
      <w:r>
        <w:t xml:space="preserve">All costs and timings are the author’s estimates. Each recommendation is tied to evidence and a lens.</w:t>
      </w:r>
    </w:p>
    <w:p>
      <w:pPr>
        <w:pStyle w:val="BodyText"/>
      </w:pPr>
      <w:r>
        <w:rPr>
          <w:bCs/>
          <w:b/>
        </w:rPr>
        <w:t xml:space="preserve">R1. Must-be sweep and weekly guest-eyes walk.</w:t>
      </w:r>
      <w:r>
        <w:t xml:space="preserve"> </w:t>
      </w:r>
      <w:r>
        <w:t xml:space="preserve">Run a 30-day sweep of lifts, grilles, corridors and room details, then a weekly 15-minute manager walk with a short checklist. Figs. 1, 6 and 7 show the faults, Kano et al. (1984) rank must-be failures above missing delight, and Turley and Milliman (2000) show the setting shapes judgement. Measure weekly checklist pass rate and monthly review mentions of condition faults. Estimate: low cost, 1 to 3 months. The risk is that plaster and cornice repairs may need listed-building consent, so start with cleaning and metal polishing.</w:t>
      </w:r>
    </w:p>
    <w:p>
      <w:pPr>
        <w:pStyle w:val="BodyText"/>
      </w:pPr>
      <w:r>
        <w:rPr>
          <w:bCs/>
          <w:b/>
        </w:rPr>
        <w:t xml:space="preserve">R2. Breakfast continuity and recovery playbook.</w:t>
      </w:r>
      <w:r>
        <w:t xml:space="preserve"> </w:t>
      </w:r>
      <w:r>
        <w:t xml:space="preserve">Write an outage plan with a backup service area, a scripted apology, a standard make-good such as a drink at ’35 Bar, and a same-day manager follow-up. The offsite-breakfast review is the evidence. Smith et al. (1999) support recovery, and McCollough et al. (2000) explain why a backup plan is also needed. Measure time to first response, the share of affected guests offered a make-good, and reply time to related reviews. Estimate: low cost, about one month. The risk is that compensation becomes an expectation.</w:t>
      </w:r>
    </w:p>
    <w:p>
      <w:pPr>
        <w:pStyle w:val="BodyText"/>
      </w:pPr>
      <w:r>
        <w:rPr>
          <w:bCs/>
          <w:b/>
        </w:rPr>
        <w:t xml:space="preserve">R3.</w:t>
      </w:r>
      <w:r>
        <w:rPr>
          <w:bCs/>
          <w:b/>
        </w:rPr>
        <w:t xml:space="preserve"> </w:t>
      </w:r>
      <w:r>
        <w:rPr>
          <w:bCs/>
          <w:b/>
        </w:rPr>
        <w:t xml:space="preserve">“</w:t>
      </w:r>
      <w:r>
        <w:rPr>
          <w:bCs/>
          <w:b/>
        </w:rPr>
        <w:t xml:space="preserve">Spanish morning</w:t>
      </w:r>
      <w:r>
        <w:rPr>
          <w:bCs/>
          <w:b/>
        </w:rPr>
        <w:t xml:space="preserve">”</w:t>
      </w:r>
      <w:r>
        <w:rPr>
          <w:bCs/>
          <w:b/>
        </w:rPr>
        <w:t xml:space="preserve"> </w:t>
      </w:r>
      <w:r>
        <w:rPr>
          <w:bCs/>
          <w:b/>
        </w:rPr>
        <w:t xml:space="preserve">in-room kit.</w:t>
      </w:r>
      <w:r>
        <w:t xml:space="preserve"> </w:t>
      </w:r>
      <w:r>
        <w:t xml:space="preserve">Replace instant coffee with a Spanish coffee or tea option and add a local-products card pointing to Arado and ’35 Bar, piloted on one floor. Fig. 5 contrasts with Figs. 2 and 3, Kim and Mauborgne (2004) support carrying the distinctive element through, and Treacy and Wiersema (1993) are the counterpoint: choose where to be excellent. Measure in-room F&amp;B mentions, minibar spend and card use. Estimate: low to medium cost, three months. The risk is cost per room across more than 500 rooms, so pilot results decide roll-out.</w:t>
      </w:r>
    </w:p>
    <w:p>
      <w:pPr>
        <w:pStyle w:val="BodyText"/>
      </w:pPr>
      <w:r>
        <w:rPr>
          <w:bCs/>
          <w:b/>
        </w:rPr>
        <w:t xml:space="preserve">R4. Track The Level.</w:t>
      </w:r>
      <w:r>
        <w:t xml:space="preserve"> </w:t>
      </w:r>
      <w:r>
        <w:t xml:space="preserve">Give each day pass a unique code for the 10% discount, then report weekly passes sold, redemption rate and spend per pass-holder. Figs. 4 and 8 and Business Traveller (2024) show the offer, and Ansoff (1957) and Drucker (1985) imply a new use of space is only a good bet if watched. Measure occupancy of the ten workspaces and average spend. Estimate: low cost, about two months. The risk is cannibalised full-price spend.</w:t>
      </w:r>
    </w:p>
    <w:p>
      <w:pPr>
        <w:pStyle w:val="BodyText"/>
      </w:pPr>
      <w:r>
        <w:t xml:space="preserve">Priority, by impact against effort: Taken together, R1 to R3 address must-be reliability and expectation, which the evidence shows are the main sources of dissatisfaction, and they draw on different teams, so they can run in parallel. R2 and R1 first, as the cheapest and most visible; R4 next; R3 last, since it needs the most money and testing. The order should be adjusted once the review sample shows which touchpoint causes most complaints. Success should be judged after one quarter against the stated indicators, using the same review-coding frame so that results are comparable with this study’s baseline, and any item that shows no movement should be redesigned before more money is spent. A 90-day timeline is in Appendix 6.</w:t>
      </w:r>
    </w:p>
    <w:bookmarkEnd w:id="25"/>
    <w:bookmarkStart w:id="26" w:name="conclusion"/>
    <w:p>
      <w:pPr>
        <w:pStyle w:val="Heading2"/>
      </w:pPr>
      <w:r>
        <w:t xml:space="preserve">7. Conclusion</w:t>
      </w:r>
    </w:p>
    <w:p>
      <w:pPr>
        <w:pStyle w:val="FirstParagraph"/>
      </w:pPr>
      <w:r>
        <w:t xml:space="preserve">Meliá White House largely delivers its premium promise where guests look first, in public spaces, breakfast and staff, but under-delivers on condition and consistency, which matters more at £300 than at £117. These findings rest on one hosted visit, perceptions-based evidence and a small, self-selected review sample. The hotel should first fix breakfast continuity and its must-be basics, because they are cheap, fast and protect the investment already made.</w:t>
      </w:r>
    </w:p>
    <w:bookmarkEnd w:id="26"/>
    <w:bookmarkStart w:id="27" w:name="references"/>
    <w:p>
      <w:pPr>
        <w:pStyle w:val="Heading1"/>
      </w:pPr>
      <w:r>
        <w:t xml:space="preserve">References</w:t>
      </w:r>
    </w:p>
    <w:p>
      <w:pPr>
        <w:pStyle w:val="FirstParagraph"/>
      </w:pPr>
      <w:r>
        <w:rPr>
          <w:iCs/>
          <w:i/>
        </w:rPr>
        <w:t xml:space="preserve">Check every edition, page range and publisher against the library catalogue before submitting; the academic entries are carried over from your blueprint and were not independently looked up.</w:t>
      </w:r>
    </w:p>
    <w:p>
      <w:pPr>
        <w:pStyle w:val="BodyText"/>
      </w:pPr>
      <w:r>
        <w:t xml:space="preserve">Ansoff, H.I. (1957)</w:t>
      </w:r>
      <w:r>
        <w:t xml:space="preserve"> </w:t>
      </w:r>
      <w:r>
        <w:t xml:space="preserve">‘</w:t>
      </w:r>
      <w:r>
        <w:t xml:space="preserve">Strategies for diversification</w:t>
      </w:r>
      <w:r>
        <w:t xml:space="preserve">’</w:t>
      </w:r>
      <w:r>
        <w:t xml:space="preserve">,</w:t>
      </w:r>
      <w:r>
        <w:t xml:space="preserve"> </w:t>
      </w:r>
      <w:r>
        <w:rPr>
          <w:iCs/>
          <w:i/>
        </w:rPr>
        <w:t xml:space="preserve">Harvard Business Review</w:t>
      </w:r>
      <w:r>
        <w:t xml:space="preserve">, 35(5), pp. 113-124.</w:t>
      </w:r>
    </w:p>
    <w:p>
      <w:pPr>
        <w:pStyle w:val="BodyText"/>
      </w:pPr>
      <w:r>
        <w:t xml:space="preserve">Braun, V. and Clarke, V. (2006)</w:t>
      </w:r>
      <w:r>
        <w:t xml:space="preserve"> </w:t>
      </w:r>
      <w:r>
        <w:t xml:space="preserve">‘</w:t>
      </w:r>
      <w:r>
        <w:t xml:space="preserve">Using thematic analysis in psychology</w:t>
      </w:r>
      <w:r>
        <w:t xml:space="preserve">’</w:t>
      </w:r>
      <w:r>
        <w:t xml:space="preserve">,</w:t>
      </w:r>
      <w:r>
        <w:t xml:space="preserve"> </w:t>
      </w:r>
      <w:r>
        <w:rPr>
          <w:iCs/>
          <w:i/>
        </w:rPr>
        <w:t xml:space="preserve">Qualitative Research in Psychology</w:t>
      </w:r>
      <w:r>
        <w:t xml:space="preserve">, 3(2), pp. 77-101.</w:t>
      </w:r>
    </w:p>
    <w:p>
      <w:pPr>
        <w:pStyle w:val="BodyText"/>
      </w:pPr>
      <w:r>
        <w:t xml:space="preserve">Breaking Travel News (2026) [ADD TITLE, DATE AND URL: coverage of the S&amp;P Global Sustainability Yearbook 2026] (Accessed: 8 October 2026).</w:t>
      </w:r>
    </w:p>
    <w:p>
      <w:pPr>
        <w:pStyle w:val="BodyText"/>
      </w:pPr>
      <w:r>
        <w:t xml:space="preserve">Bryman, A. and Bell, E. (2015)</w:t>
      </w:r>
      <w:r>
        <w:t xml:space="preserve"> </w:t>
      </w:r>
      <w:r>
        <w:rPr>
          <w:iCs/>
          <w:i/>
        </w:rPr>
        <w:t xml:space="preserve">Business Research Methods</w:t>
      </w:r>
      <w:r>
        <w:t xml:space="preserve">. 4th edn. Oxford: Oxford University Press.</w:t>
      </w:r>
    </w:p>
    <w:p>
      <w:pPr>
        <w:pStyle w:val="BodyText"/>
      </w:pPr>
      <w:r>
        <w:t xml:space="preserve">Business Traveller (2024)</w:t>
      </w:r>
      <w:r>
        <w:t xml:space="preserve"> </w:t>
      </w:r>
      <w:r>
        <w:t xml:space="preserve">‘</w:t>
      </w:r>
      <w:r>
        <w:t xml:space="preserve">London’s Meliá White House introduces co-working spaces</w:t>
      </w:r>
      <w:r>
        <w:t xml:space="preserve">’</w:t>
      </w:r>
      <w:r>
        <w:t xml:space="preserve">, 21 April. Available at: https://www.businesstraveller.com/business-travel/2024/04/21/londons-melia-white-house-introduces-co-working-spaces/ (Accessed: 8 October 2026).</w:t>
      </w:r>
    </w:p>
    <w:p>
      <w:pPr>
        <w:pStyle w:val="BodyText"/>
      </w:pPr>
      <w:r>
        <w:t xml:space="preserve">Camden Council (2025)</w:t>
      </w:r>
      <w:r>
        <w:t xml:space="preserve"> </w:t>
      </w:r>
      <w:r>
        <w:rPr>
          <w:iCs/>
          <w:i/>
        </w:rPr>
        <w:t xml:space="preserve">White House Hotel, Albany Street: listed building consent supporting documents</w:t>
      </w:r>
      <w:r>
        <w:t xml:space="preserve">. Available at: https://camdocs.camden.gov.uk [ADD THE SPECIFIC RECORD URL] (Accessed: 8 October 2026).</w:t>
      </w:r>
    </w:p>
    <w:p>
      <w:pPr>
        <w:pStyle w:val="BodyText"/>
      </w:pPr>
      <w:r>
        <w:t xml:space="preserve">Cope, M. (2003)</w:t>
      </w:r>
      <w:r>
        <w:t xml:space="preserve"> </w:t>
      </w:r>
      <w:r>
        <w:rPr>
          <w:iCs/>
          <w:i/>
        </w:rPr>
        <w:t xml:space="preserve">The Seven Cs of Consulting</w:t>
      </w:r>
      <w:r>
        <w:t xml:space="preserve">. 2nd edn. Harlow: FT Prentice Hall.</w:t>
      </w:r>
    </w:p>
    <w:p>
      <w:pPr>
        <w:pStyle w:val="BodyText"/>
      </w:pPr>
      <w:r>
        <w:t xml:space="preserve">Davis, B., Lockwood, A., Alcott, P. and Pantelidis, I.S. (2018)</w:t>
      </w:r>
      <w:r>
        <w:t xml:space="preserve"> </w:t>
      </w:r>
      <w:r>
        <w:rPr>
          <w:iCs/>
          <w:i/>
        </w:rPr>
        <w:t xml:space="preserve">Food and Beverage Management</w:t>
      </w:r>
      <w:r>
        <w:t xml:space="preserve">. 5th edn. Abingdon: Routledge.</w:t>
      </w:r>
    </w:p>
    <w:p>
      <w:pPr>
        <w:pStyle w:val="BodyText"/>
      </w:pPr>
      <w:r>
        <w:t xml:space="preserve">Denzin, N.K. (1978)</w:t>
      </w:r>
      <w:r>
        <w:t xml:space="preserve"> </w:t>
      </w:r>
      <w:r>
        <w:rPr>
          <w:iCs/>
          <w:i/>
        </w:rPr>
        <w:t xml:space="preserve">The Research Act: A Theoretical Introduction to Sociological Methods</w:t>
      </w:r>
      <w:r>
        <w:t xml:space="preserve">. 2nd edn. New York: McGraw-Hill.</w:t>
      </w:r>
    </w:p>
    <w:p>
      <w:pPr>
        <w:pStyle w:val="BodyText"/>
      </w:pPr>
      <w:r>
        <w:t xml:space="preserve">Drucker, P.F. (1985)</w:t>
      </w:r>
      <w:r>
        <w:t xml:space="preserve"> </w:t>
      </w:r>
      <w:r>
        <w:rPr>
          <w:iCs/>
          <w:i/>
        </w:rPr>
        <w:t xml:space="preserve">Innovation and Entrepreneurship</w:t>
      </w:r>
      <w:r>
        <w:t xml:space="preserve">. New York: Harper &amp; Row.</w:t>
      </w:r>
    </w:p>
    <w:p>
      <w:pPr>
        <w:pStyle w:val="BodyText"/>
      </w:pPr>
      <w:r>
        <w:t xml:space="preserve">Eisenhardt, K.M. and Martin, J.A. (2000)</w:t>
      </w:r>
      <w:r>
        <w:t xml:space="preserve"> </w:t>
      </w:r>
      <w:r>
        <w:t xml:space="preserve">‘</w:t>
      </w:r>
      <w:r>
        <w:t xml:space="preserve">Dynamic capabilities: what are they?</w:t>
      </w:r>
      <w:r>
        <w:t xml:space="preserve">’</w:t>
      </w:r>
      <w:r>
        <w:t xml:space="preserve">,</w:t>
      </w:r>
      <w:r>
        <w:t xml:space="preserve"> </w:t>
      </w:r>
      <w:r>
        <w:rPr>
          <w:iCs/>
          <w:i/>
        </w:rPr>
        <w:t xml:space="preserve">Strategic Management Journal</w:t>
      </w:r>
      <w:r>
        <w:t xml:space="preserve">, 21(10-11), pp. 1105-1121.</w:t>
      </w:r>
    </w:p>
    <w:p>
      <w:pPr>
        <w:pStyle w:val="BodyText"/>
      </w:pPr>
      <w:r>
        <w:t xml:space="preserve">Gentile, C., Spiller, N. and Noci, G. (2007)</w:t>
      </w:r>
      <w:r>
        <w:t xml:space="preserve"> </w:t>
      </w:r>
      <w:r>
        <w:t xml:space="preserve">‘</w:t>
      </w:r>
      <w:r>
        <w:t xml:space="preserve">How to sustain the customer experience: an overview of experience components that co-create value with the customer</w:t>
      </w:r>
      <w:r>
        <w:t xml:space="preserve">’</w:t>
      </w:r>
      <w:r>
        <w:t xml:space="preserve">,</w:t>
      </w:r>
      <w:r>
        <w:t xml:space="preserve"> </w:t>
      </w:r>
      <w:r>
        <w:rPr>
          <w:iCs/>
          <w:i/>
        </w:rPr>
        <w:t xml:space="preserve">European Management Journal</w:t>
      </w:r>
      <w:r>
        <w:t xml:space="preserve">, 25(5), pp. 395-410.</w:t>
      </w:r>
    </w:p>
    <w:p>
      <w:pPr>
        <w:pStyle w:val="BodyText"/>
      </w:pPr>
      <w:r>
        <w:t xml:space="preserve">Grant, R.M. (1991)</w:t>
      </w:r>
      <w:r>
        <w:t xml:space="preserve"> </w:t>
      </w:r>
      <w:r>
        <w:t xml:space="preserve">‘</w:t>
      </w:r>
      <w:r>
        <w:t xml:space="preserve">The resource-based theory of competitive advantage: implications for strategy formulation</w:t>
      </w:r>
      <w:r>
        <w:t xml:space="preserve">’</w:t>
      </w:r>
      <w:r>
        <w:t xml:space="preserve">,</w:t>
      </w:r>
      <w:r>
        <w:t xml:space="preserve"> </w:t>
      </w:r>
      <w:r>
        <w:rPr>
          <w:iCs/>
          <w:i/>
        </w:rPr>
        <w:t xml:space="preserve">California Management Review</w:t>
      </w:r>
      <w:r>
        <w:t xml:space="preserve">, 33(3), pp. 114-135.</w:t>
      </w:r>
    </w:p>
    <w:p>
      <w:pPr>
        <w:pStyle w:val="BodyText"/>
      </w:pPr>
      <w:r>
        <w:t xml:space="preserve">Greiner, L.E. and Metzger, R.O. (1983)</w:t>
      </w:r>
      <w:r>
        <w:t xml:space="preserve"> </w:t>
      </w:r>
      <w:r>
        <w:rPr>
          <w:iCs/>
          <w:i/>
        </w:rPr>
        <w:t xml:space="preserve">Consulting to Management</w:t>
      </w:r>
      <w:r>
        <w:t xml:space="preserve">. Englewood Cliffs, NJ: Prentice-Hall.</w:t>
      </w:r>
    </w:p>
    <w:p>
      <w:pPr>
        <w:pStyle w:val="BodyText"/>
      </w:pPr>
      <w:r>
        <w:t xml:space="preserve">Grönroos, C. (1984)</w:t>
      </w:r>
      <w:r>
        <w:t xml:space="preserve"> </w:t>
      </w:r>
      <w:r>
        <w:t xml:space="preserve">‘</w:t>
      </w:r>
      <w:r>
        <w:t xml:space="preserve">A service quality model and its marketing implications</w:t>
      </w:r>
      <w:r>
        <w:t xml:space="preserve">’</w:t>
      </w:r>
      <w:r>
        <w:t xml:space="preserve">,</w:t>
      </w:r>
      <w:r>
        <w:t xml:space="preserve"> </w:t>
      </w:r>
      <w:r>
        <w:rPr>
          <w:iCs/>
          <w:i/>
        </w:rPr>
        <w:t xml:space="preserve">European Journal of Marketing</w:t>
      </w:r>
      <w:r>
        <w:t xml:space="preserve">, 18(4), pp. 36-44.</w:t>
      </w:r>
    </w:p>
    <w:p>
      <w:pPr>
        <w:pStyle w:val="BodyText"/>
      </w:pPr>
      <w:r>
        <w:t xml:space="preserve">Hospitality Net (2023)</w:t>
      </w:r>
      <w:r>
        <w:t xml:space="preserve"> </w:t>
      </w:r>
      <w:r>
        <w:rPr>
          <w:iCs/>
          <w:i/>
        </w:rPr>
        <w:t xml:space="preserve">Meliá White House</w:t>
      </w:r>
      <w:r>
        <w:t xml:space="preserve"> </w:t>
      </w:r>
      <w:r>
        <w:t xml:space="preserve">[press release on the completed renovation]. Available at: https://www.hospitalitynet.org/announcement/41009454.html (Accessed: 8 October 2026) [CONFIRM PUBLICATION DATE].</w:t>
      </w:r>
    </w:p>
    <w:p>
      <w:pPr>
        <w:pStyle w:val="BodyText"/>
      </w:pPr>
      <w:r>
        <w:t xml:space="preserve">Journal des Palaces (2026) [ADD TITLE, DATE AND URL: coverage of Meliá in Brand Finance Hotels 50 2026] (Accessed: 8 October 2026).</w:t>
      </w:r>
    </w:p>
    <w:p>
      <w:pPr>
        <w:pStyle w:val="BodyText"/>
      </w:pPr>
      <w:r>
        <w:t xml:space="preserve">Kano, N., Seraku, N., Takahashi, F. and Tsuji, S. (1984)</w:t>
      </w:r>
      <w:r>
        <w:t xml:space="preserve"> </w:t>
      </w:r>
      <w:r>
        <w:t xml:space="preserve">‘</w:t>
      </w:r>
      <w:r>
        <w:t xml:space="preserve">Attractive quality and must-be quality</w:t>
      </w:r>
      <w:r>
        <w:t xml:space="preserve">’</w:t>
      </w:r>
      <w:r>
        <w:t xml:space="preserve">,</w:t>
      </w:r>
      <w:r>
        <w:t xml:space="preserve"> </w:t>
      </w:r>
      <w:r>
        <w:rPr>
          <w:iCs/>
          <w:i/>
        </w:rPr>
        <w:t xml:space="preserve">Journal of the Japanese Society for Quality Control</w:t>
      </w:r>
      <w:r>
        <w:t xml:space="preserve">, 14(2), pp. 39-48.</w:t>
      </w:r>
    </w:p>
    <w:p>
      <w:pPr>
        <w:pStyle w:val="BodyText"/>
      </w:pPr>
      <w:r>
        <w:t xml:space="preserve">Kim, W.C. and Mauborgne, R. (2004)</w:t>
      </w:r>
      <w:r>
        <w:t xml:space="preserve"> </w:t>
      </w:r>
      <w:r>
        <w:t xml:space="preserve">‘</w:t>
      </w:r>
      <w:r>
        <w:t xml:space="preserve">Blue ocean strategy</w:t>
      </w:r>
      <w:r>
        <w:t xml:space="preserve">’</w:t>
      </w:r>
      <w:r>
        <w:t xml:space="preserve">,</w:t>
      </w:r>
      <w:r>
        <w:t xml:space="preserve"> </w:t>
      </w:r>
      <w:r>
        <w:rPr>
          <w:iCs/>
          <w:i/>
        </w:rPr>
        <w:t xml:space="preserve">Harvard Business Review</w:t>
      </w:r>
      <w:r>
        <w:t xml:space="preserve">, 82(10), pp. 76-84.</w:t>
      </w:r>
    </w:p>
    <w:p>
      <w:pPr>
        <w:pStyle w:val="BodyText"/>
      </w:pPr>
      <w:r>
        <w:t xml:space="preserve">Kimes, S.E. (2002)</w:t>
      </w:r>
      <w:r>
        <w:t xml:space="preserve"> </w:t>
      </w:r>
      <w:r>
        <w:t xml:space="preserve">‘</w:t>
      </w:r>
      <w:r>
        <w:t xml:space="preserve">Perceived fairness of yield management</w:t>
      </w:r>
      <w:r>
        <w:t xml:space="preserve">’</w:t>
      </w:r>
      <w:r>
        <w:t xml:space="preserve">,</w:t>
      </w:r>
      <w:r>
        <w:t xml:space="preserve"> </w:t>
      </w:r>
      <w:r>
        <w:rPr>
          <w:iCs/>
          <w:i/>
        </w:rPr>
        <w:t xml:space="preserve">Cornell Hotel and Restaurant Administration Quarterly</w:t>
      </w:r>
      <w:r>
        <w:t xml:space="preserve">, 43(1), pp. 21-30.</w:t>
      </w:r>
    </w:p>
    <w:p>
      <w:pPr>
        <w:pStyle w:val="BodyText"/>
      </w:pPr>
      <w:r>
        <w:t xml:space="preserve">Litvin, S.W., Goldsmith, R.E. and Pan, B. (2008)</w:t>
      </w:r>
      <w:r>
        <w:t xml:space="preserve"> </w:t>
      </w:r>
      <w:r>
        <w:t xml:space="preserve">‘</w:t>
      </w:r>
      <w:r>
        <w:t xml:space="preserve">Electronic word-of-mouth in hospitality and tourism management</w:t>
      </w:r>
      <w:r>
        <w:t xml:space="preserve">’</w:t>
      </w:r>
      <w:r>
        <w:t xml:space="preserve">,</w:t>
      </w:r>
      <w:r>
        <w:t xml:space="preserve"> </w:t>
      </w:r>
      <w:r>
        <w:rPr>
          <w:iCs/>
          <w:i/>
        </w:rPr>
        <w:t xml:space="preserve">Tourism Management</w:t>
      </w:r>
      <w:r>
        <w:t xml:space="preserve">, 29(3), pp. 458-468.</w:t>
      </w:r>
    </w:p>
    <w:p>
      <w:pPr>
        <w:pStyle w:val="BodyText"/>
      </w:pPr>
      <w:r>
        <w:t xml:space="preserve">Manaktola, K. and Jauhari, V. (2007)</w:t>
      </w:r>
      <w:r>
        <w:t xml:space="preserve"> </w:t>
      </w:r>
      <w:r>
        <w:t xml:space="preserve">‘</w:t>
      </w:r>
      <w:r>
        <w:t xml:space="preserve">Exploring consumer attitude and behaviour towards green practices in the lodging industry in India</w:t>
      </w:r>
      <w:r>
        <w:t xml:space="preserve">’</w:t>
      </w:r>
      <w:r>
        <w:t xml:space="preserve">,</w:t>
      </w:r>
      <w:r>
        <w:t xml:space="preserve"> </w:t>
      </w:r>
      <w:r>
        <w:rPr>
          <w:iCs/>
          <w:i/>
        </w:rPr>
        <w:t xml:space="preserve">International Journal of Contemporary Hospitality Management</w:t>
      </w:r>
      <w:r>
        <w:t xml:space="preserve">, 19(5), pp. 364-377.</w:t>
      </w:r>
    </w:p>
    <w:p>
      <w:pPr>
        <w:pStyle w:val="BodyText"/>
      </w:pPr>
      <w:r>
        <w:t xml:space="preserve">McCollough, M.A., Berry, L.L. and Yadav, M.S. (2000)</w:t>
      </w:r>
      <w:r>
        <w:t xml:space="preserve"> </w:t>
      </w:r>
      <w:r>
        <w:t xml:space="preserve">‘</w:t>
      </w:r>
      <w:r>
        <w:t xml:space="preserve">An empirical investigation of customer satisfaction after service failure and recovery</w:t>
      </w:r>
      <w:r>
        <w:t xml:space="preserve">’</w:t>
      </w:r>
      <w:r>
        <w:t xml:space="preserve">,</w:t>
      </w:r>
      <w:r>
        <w:t xml:space="preserve"> </w:t>
      </w:r>
      <w:r>
        <w:rPr>
          <w:iCs/>
          <w:i/>
        </w:rPr>
        <w:t xml:space="preserve">Journal of Service Research</w:t>
      </w:r>
      <w:r>
        <w:t xml:space="preserve">, 3(2), pp. 121-137.</w:t>
      </w:r>
    </w:p>
    <w:p>
      <w:pPr>
        <w:pStyle w:val="BodyText"/>
      </w:pPr>
      <w:r>
        <w:t xml:space="preserve">Olsen, M.D., West, J.J. and Tse, E.C.-Y. (2008)</w:t>
      </w:r>
      <w:r>
        <w:t xml:space="preserve"> </w:t>
      </w:r>
      <w:r>
        <w:rPr>
          <w:iCs/>
          <w:i/>
        </w:rPr>
        <w:t xml:space="preserve">Strategic Management in the Hospitality Industry</w:t>
      </w:r>
      <w:r>
        <w:t xml:space="preserve">. 3rd edn. Upper Saddle River, NJ: Pearson.</w:t>
      </w:r>
    </w:p>
    <w:p>
      <w:pPr>
        <w:pStyle w:val="BodyText"/>
      </w:pPr>
      <w:r>
        <w:t xml:space="preserve">Pizam, A. and Ellis, T. (1999)</w:t>
      </w:r>
      <w:r>
        <w:t xml:space="preserve"> </w:t>
      </w:r>
      <w:r>
        <w:t xml:space="preserve">‘</w:t>
      </w:r>
      <w:r>
        <w:t xml:space="preserve">Customer satisfaction and its measurement in hospitality enterprises</w:t>
      </w:r>
      <w:r>
        <w:t xml:space="preserve">’</w:t>
      </w:r>
      <w:r>
        <w:t xml:space="preserve">,</w:t>
      </w:r>
      <w:r>
        <w:t xml:space="preserve"> </w:t>
      </w:r>
      <w:r>
        <w:rPr>
          <w:iCs/>
          <w:i/>
        </w:rPr>
        <w:t xml:space="preserve">International Journal of Contemporary Hospitality Management</w:t>
      </w:r>
      <w:r>
        <w:t xml:space="preserve">, 11(7), pp. 326-339.</w:t>
      </w:r>
    </w:p>
    <w:p>
      <w:pPr>
        <w:pStyle w:val="BodyText"/>
      </w:pPr>
      <w:r>
        <w:t xml:space="preserve">Poria, Y., Butler, R. and Airey, D. (2003)</w:t>
      </w:r>
      <w:r>
        <w:t xml:space="preserve"> </w:t>
      </w:r>
      <w:r>
        <w:t xml:space="preserve">‘</w:t>
      </w:r>
      <w:r>
        <w:t xml:space="preserve">The core of heritage tourism</w:t>
      </w:r>
      <w:r>
        <w:t xml:space="preserve">’</w:t>
      </w:r>
      <w:r>
        <w:t xml:space="preserve">,</w:t>
      </w:r>
      <w:r>
        <w:t xml:space="preserve"> </w:t>
      </w:r>
      <w:r>
        <w:rPr>
          <w:iCs/>
          <w:i/>
        </w:rPr>
        <w:t xml:space="preserve">Annals of Tourism Research</w:t>
      </w:r>
      <w:r>
        <w:t xml:space="preserve">, 30(1), pp. 238-254.</w:t>
      </w:r>
    </w:p>
    <w:p>
      <w:pPr>
        <w:pStyle w:val="BodyText"/>
      </w:pPr>
      <w:r>
        <w:t xml:space="preserve">Schneider, B. and Bowen, D.E. (1993)</w:t>
      </w:r>
      <w:r>
        <w:t xml:space="preserve"> </w:t>
      </w:r>
      <w:r>
        <w:t xml:space="preserve">‘</w:t>
      </w:r>
      <w:r>
        <w:t xml:space="preserve">The service organization: human resources management is crucial</w:t>
      </w:r>
      <w:r>
        <w:t xml:space="preserve">’</w:t>
      </w:r>
      <w:r>
        <w:t xml:space="preserve">,</w:t>
      </w:r>
      <w:r>
        <w:t xml:space="preserve"> </w:t>
      </w:r>
      <w:r>
        <w:rPr>
          <w:iCs/>
          <w:i/>
        </w:rPr>
        <w:t xml:space="preserve">Organizational Dynamics</w:t>
      </w:r>
      <w:r>
        <w:t xml:space="preserve">, 21(4), pp. 39-52.</w:t>
      </w:r>
    </w:p>
    <w:p>
      <w:pPr>
        <w:pStyle w:val="BodyText"/>
      </w:pPr>
      <w:r>
        <w:t xml:space="preserve">Smith, A.K., Bolton, R.N. and Wagner, J. (1999)</w:t>
      </w:r>
      <w:r>
        <w:t xml:space="preserve"> </w:t>
      </w:r>
      <w:r>
        <w:t xml:space="preserve">‘</w:t>
      </w:r>
      <w:r>
        <w:t xml:space="preserve">A model of customer satisfaction with service encounters involving failure and recovery</w:t>
      </w:r>
      <w:r>
        <w:t xml:space="preserve">’</w:t>
      </w:r>
      <w:r>
        <w:t xml:space="preserve">,</w:t>
      </w:r>
      <w:r>
        <w:t xml:space="preserve"> </w:t>
      </w:r>
      <w:r>
        <w:rPr>
          <w:iCs/>
          <w:i/>
        </w:rPr>
        <w:t xml:space="preserve">Journal of Marketing Research</w:t>
      </w:r>
      <w:r>
        <w:t xml:space="preserve">, 36(3), pp. 356-372.</w:t>
      </w:r>
    </w:p>
    <w:p>
      <w:pPr>
        <w:pStyle w:val="BodyText"/>
      </w:pPr>
      <w:r>
        <w:t xml:space="preserve">Treacy, M. and Wiersema, F. (1993)</w:t>
      </w:r>
      <w:r>
        <w:t xml:space="preserve"> </w:t>
      </w:r>
      <w:r>
        <w:t xml:space="preserve">‘</w:t>
      </w:r>
      <w:r>
        <w:t xml:space="preserve">Customer intimacy and other value disciplines</w:t>
      </w:r>
      <w:r>
        <w:t xml:space="preserve">’</w:t>
      </w:r>
      <w:r>
        <w:t xml:space="preserve">,</w:t>
      </w:r>
      <w:r>
        <w:t xml:space="preserve"> </w:t>
      </w:r>
      <w:r>
        <w:rPr>
          <w:iCs/>
          <w:i/>
        </w:rPr>
        <w:t xml:space="preserve">Harvard Business Review</w:t>
      </w:r>
      <w:r>
        <w:t xml:space="preserve">, 71(1), pp. 84-93.</w:t>
      </w:r>
    </w:p>
    <w:p>
      <w:pPr>
        <w:pStyle w:val="BodyText"/>
      </w:pPr>
      <w:r>
        <w:t xml:space="preserve">Turley, L.W. and Milliman, R.E. (2000)</w:t>
      </w:r>
      <w:r>
        <w:t xml:space="preserve"> </w:t>
      </w:r>
      <w:r>
        <w:t xml:space="preserve">‘</w:t>
      </w:r>
      <w:r>
        <w:t xml:space="preserve">Atmospheric effects on shopping behavior: a review of the experimental evidence</w:t>
      </w:r>
      <w:r>
        <w:t xml:space="preserve">’</w:t>
      </w:r>
      <w:r>
        <w:t xml:space="preserve">,</w:t>
      </w:r>
      <w:r>
        <w:t xml:space="preserve"> </w:t>
      </w:r>
      <w:r>
        <w:rPr>
          <w:iCs/>
          <w:i/>
        </w:rPr>
        <w:t xml:space="preserve">Journal of Business Research</w:t>
      </w:r>
      <w:r>
        <w:t xml:space="preserve">, 49(2), pp. 193-211.</w:t>
      </w:r>
    </w:p>
    <w:p>
      <w:pPr>
        <w:pStyle w:val="BodyText"/>
      </w:pPr>
      <w:r>
        <w:t xml:space="preserve">Veal, A.J. (2017)</w:t>
      </w:r>
      <w:r>
        <w:t xml:space="preserve"> </w:t>
      </w:r>
      <w:r>
        <w:rPr>
          <w:iCs/>
          <w:i/>
        </w:rPr>
        <w:t xml:space="preserve">Research Methods for Leisure and Tourism</w:t>
      </w:r>
      <w:r>
        <w:t xml:space="preserve">. 5th edn. Harlow: Pearson.</w:t>
      </w:r>
    </w:p>
    <w:p>
      <w:pPr>
        <w:pStyle w:val="BodyText"/>
      </w:pPr>
      <w:r>
        <w:t xml:space="preserve">Xia, L., Monroe, K.B. and Cox, J.L. (2004)</w:t>
      </w:r>
      <w:r>
        <w:t xml:space="preserve"> </w:t>
      </w:r>
      <w:r>
        <w:t xml:space="preserve">‘</w:t>
      </w:r>
      <w:r>
        <w:t xml:space="preserve">The price is unfair! A conceptual framework of price fairness perceptions</w:t>
      </w:r>
      <w:r>
        <w:t xml:space="preserve">’</w:t>
      </w:r>
      <w:r>
        <w:t xml:space="preserve">,</w:t>
      </w:r>
      <w:r>
        <w:t xml:space="preserve"> </w:t>
      </w:r>
      <w:r>
        <w:rPr>
          <w:iCs/>
          <w:i/>
        </w:rPr>
        <w:t xml:space="preserve">Journal of Marketing</w:t>
      </w:r>
      <w:r>
        <w:t xml:space="preserve">, 68(4), pp. 1-15.</w:t>
      </w:r>
    </w:p>
    <w:p>
      <w:pPr>
        <w:pStyle w:val="BodyText"/>
      </w:pPr>
      <w:r>
        <w:t xml:space="preserve">Yin, R.K. (2018)</w:t>
      </w:r>
      <w:r>
        <w:t xml:space="preserve"> </w:t>
      </w:r>
      <w:r>
        <w:rPr>
          <w:iCs/>
          <w:i/>
        </w:rPr>
        <w:t xml:space="preserve">Case Study Research and Applications: Design and Methods</w:t>
      </w:r>
      <w:r>
        <w:t xml:space="preserve">. 6th edn. Thousand Oaks, CA: Sage.</w:t>
      </w:r>
    </w:p>
    <w:p>
      <w:pPr>
        <w:pStyle w:val="BodyText"/>
      </w:pPr>
      <w:r>
        <w:t xml:space="preserve">Zeithaml, V.A. (1988)</w:t>
      </w:r>
      <w:r>
        <w:t xml:space="preserve"> </w:t>
      </w:r>
      <w:r>
        <w:t xml:space="preserve">‘</w:t>
      </w:r>
      <w:r>
        <w:t xml:space="preserve">Consumer perceptions of price, quality, and value: a means-end model and synthesis of evidence</w:t>
      </w:r>
      <w:r>
        <w:t xml:space="preserve">’</w:t>
      </w:r>
      <w:r>
        <w:t xml:space="preserve">,</w:t>
      </w:r>
      <w:r>
        <w:t xml:space="preserve"> </w:t>
      </w:r>
      <w:r>
        <w:rPr>
          <w:iCs/>
          <w:i/>
        </w:rPr>
        <w:t xml:space="preserve">Journal of Marketing</w:t>
      </w:r>
      <w:r>
        <w:t xml:space="preserve">, 52(3), pp. 2-22.</w:t>
      </w:r>
    </w:p>
    <w:p>
      <w:pPr>
        <w:pStyle w:val="BodyText"/>
      </w:pPr>
      <w:r>
        <w:t xml:space="preserve">Zomerdijk, L.G. and Voss, C.A. (2010)</w:t>
      </w:r>
      <w:r>
        <w:t xml:space="preserve"> </w:t>
      </w:r>
      <w:r>
        <w:t xml:space="preserve">‘</w:t>
      </w:r>
      <w:r>
        <w:t xml:space="preserve">Service design for experience-centric services</w:t>
      </w:r>
      <w:r>
        <w:t xml:space="preserve">’</w:t>
      </w:r>
      <w:r>
        <w:t xml:space="preserve">,</w:t>
      </w:r>
      <w:r>
        <w:t xml:space="preserve"> </w:t>
      </w:r>
      <w:r>
        <w:rPr>
          <w:iCs/>
          <w:i/>
        </w:rPr>
        <w:t xml:space="preserve">Journal of Service Research</w:t>
      </w:r>
      <w:r>
        <w:t xml:space="preserve">, 13(1), pp. 67-82.</w:t>
      </w:r>
    </w:p>
    <w:bookmarkEnd w:id="27"/>
    <w:bookmarkStart w:id="34" w:name="appendices"/>
    <w:p>
      <w:pPr>
        <w:pStyle w:val="Heading1"/>
      </w:pPr>
      <w:r>
        <w:t xml:space="preserve">Appendices</w:t>
      </w:r>
    </w:p>
    <w:bookmarkStart w:id="28" w:name="appendix-1-photographs-figs.-1-8"/>
    <w:p>
      <w:pPr>
        <w:pStyle w:val="Heading2"/>
      </w:pPr>
      <w:r>
        <w:t xml:space="preserve">Appendix 1: Photographs (Figs. 1-8)</w:t>
      </w:r>
    </w:p>
    <w:p>
      <w:pPr>
        <w:pStyle w:val="FirstParagraph"/>
      </w:pPr>
      <w:r>
        <w:t xml:space="preserve">[INSERT YOUR OWN PHOTOS. Caption format:</w:t>
      </w:r>
      <w:r>
        <w:t xml:space="preserve"> </w:t>
      </w:r>
      <w:r>
        <w:t xml:space="preserve">“</w:t>
      </w:r>
      <w:r>
        <w:t xml:space="preserve">Figure 1. Lift lobby, Meliá White House, taken by the author, 9 September 2025.</w:t>
      </w:r>
      <w:r>
        <w:t xml:space="preserve">”</w:t>
      </w:r>
      <w:r>
        <w:t xml:space="preserve"> </w:t>
      </w:r>
      <w:r>
        <w:t xml:space="preserve">No identifiable staff or guests. Cite each figure in the text before it appears.]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Fig.</w:t>
            </w:r>
          </w:p>
        </w:tc>
        <w:tc>
          <w:tcPr/>
          <w:p>
            <w:pPr>
              <w:pStyle w:val="Compact"/>
              <w:jc w:val="left"/>
            </w:pPr>
            <w:r>
              <w:t xml:space="preserve">Photo</w:t>
            </w:r>
          </w:p>
        </w:tc>
        <w:tc>
          <w:tcPr/>
          <w:p>
            <w:pPr>
              <w:pStyle w:val="Compact"/>
              <w:jc w:val="left"/>
            </w:pPr>
            <w:r>
              <w:t xml:space="preserve">Kano class</w:t>
            </w:r>
          </w:p>
        </w:tc>
        <w:tc>
          <w:tcPr/>
          <w:p>
            <w:pPr>
              <w:pStyle w:val="Compact"/>
              <w:jc w:val="left"/>
            </w:pPr>
            <w:r>
              <w:t xml:space="preserve">Touchpoint</w:t>
            </w:r>
          </w:p>
        </w:tc>
        <w:tc>
          <w:tcPr/>
          <w:p>
            <w:pPr>
              <w:pStyle w:val="Compact"/>
              <w:jc w:val="left"/>
            </w:pPr>
            <w:r>
              <w:t xml:space="preserve">Verdict</w:t>
            </w:r>
          </w:p>
        </w:tc>
      </w:tr>
      <w:tr>
        <w:tc>
          <w:tcPr/>
          <w:p>
            <w:pPr>
              <w:pStyle w:val="Compact"/>
              <w:jc w:val="left"/>
            </w:pPr>
            <w:r>
              <w:t xml:space="preserve">1</w:t>
            </w:r>
          </w:p>
        </w:tc>
        <w:tc>
          <w:tcPr/>
          <w:p>
            <w:pPr>
              <w:pStyle w:val="Compact"/>
              <w:jc w:val="left"/>
            </w:pPr>
            <w:r>
              <w:t xml:space="preserve">Lift lobby: black marble, brass door</w:t>
            </w:r>
          </w:p>
        </w:tc>
        <w:tc>
          <w:tcPr/>
          <w:p>
            <w:pPr>
              <w:pStyle w:val="Compact"/>
              <w:jc w:val="left"/>
            </w:pPr>
            <w:r>
              <w:t xml:space="preserve">Must-be</w:t>
            </w:r>
          </w:p>
        </w:tc>
        <w:tc>
          <w:tcPr/>
          <w:p>
            <w:pPr>
              <w:pStyle w:val="Compact"/>
              <w:jc w:val="left"/>
            </w:pPr>
            <w:r>
              <w:t xml:space="preserve">Arrival</w:t>
            </w:r>
          </w:p>
        </w:tc>
        <w:tc>
          <w:tcPr/>
          <w:p>
            <w:pPr>
              <w:pStyle w:val="Compact"/>
              <w:jc w:val="left"/>
            </w:pPr>
            <w:r>
              <w:t xml:space="preserve">Gap: door looks tarnished</w:t>
            </w:r>
          </w:p>
        </w:tc>
      </w:tr>
      <w:tr>
        <w:tc>
          <w:tcPr/>
          <w:p>
            <w:pPr>
              <w:pStyle w:val="Compact"/>
              <w:jc w:val="left"/>
            </w:pPr>
            <w:r>
              <w:t xml:space="preserve">2</w:t>
            </w:r>
          </w:p>
        </w:tc>
        <w:tc>
          <w:tcPr/>
          <w:p>
            <w:pPr>
              <w:pStyle w:val="Compact"/>
              <w:jc w:val="left"/>
            </w:pPr>
            <w:r>
              <w:t xml:space="preserve">Breakfast buffet counter: lit shelving, linen bags, GMED oils, Real Crisps</w:t>
            </w:r>
          </w:p>
        </w:tc>
        <w:tc>
          <w:tcPr/>
          <w:p>
            <w:pPr>
              <w:pStyle w:val="Compact"/>
              <w:jc w:val="left"/>
            </w:pPr>
            <w:r>
              <w:t xml:space="preserve">Attractive</w:t>
            </w:r>
          </w:p>
        </w:tc>
        <w:tc>
          <w:tcPr/>
          <w:p>
            <w:pPr>
              <w:pStyle w:val="Compact"/>
              <w:jc w:val="left"/>
            </w:pPr>
            <w:r>
              <w:t xml:space="preserve">Breakfast</w:t>
            </w:r>
          </w:p>
        </w:tc>
        <w:tc>
          <w:tcPr/>
          <w:p>
            <w:pPr>
              <w:pStyle w:val="Compact"/>
              <w:jc w:val="left"/>
            </w:pPr>
            <w:r>
              <w:t xml:space="preserve">Strength</w:t>
            </w:r>
          </w:p>
        </w:tc>
      </w:tr>
      <w:tr>
        <w:tc>
          <w:tcPr/>
          <w:p>
            <w:pPr>
              <w:pStyle w:val="Compact"/>
              <w:jc w:val="left"/>
            </w:pPr>
            <w:r>
              <w:t xml:space="preserve">3</w:t>
            </w:r>
          </w:p>
        </w:tc>
        <w:tc>
          <w:tcPr/>
          <w:p>
            <w:pPr>
              <w:pStyle w:val="Compact"/>
              <w:jc w:val="left"/>
            </w:pPr>
            <w:r>
              <w:t xml:space="preserve">Wine and cava ice buckets</w:t>
            </w:r>
          </w:p>
        </w:tc>
        <w:tc>
          <w:tcPr/>
          <w:p>
            <w:pPr>
              <w:pStyle w:val="Compact"/>
              <w:jc w:val="left"/>
            </w:pPr>
            <w:r>
              <w:t xml:space="preserve">Attractive</w:t>
            </w:r>
          </w:p>
        </w:tc>
        <w:tc>
          <w:tcPr/>
          <w:p>
            <w:pPr>
              <w:pStyle w:val="Compact"/>
              <w:jc w:val="left"/>
            </w:pPr>
            <w:r>
              <w:t xml:space="preserve">Dining / bar</w:t>
            </w:r>
          </w:p>
        </w:tc>
        <w:tc>
          <w:tcPr/>
          <w:p>
            <w:pPr>
              <w:pStyle w:val="Compact"/>
              <w:jc w:val="left"/>
            </w:pPr>
            <w:r>
              <w:t xml:space="preserve">Strength: Spanish provenance, organic cava</w:t>
            </w:r>
          </w:p>
        </w:tc>
      </w:tr>
      <w:tr>
        <w:tc>
          <w:tcPr/>
          <w:p>
            <w:pPr>
              <w:pStyle w:val="Compact"/>
              <w:jc w:val="left"/>
            </w:pPr>
            <w:r>
              <w:t xml:space="preserve">4</w:t>
            </w:r>
          </w:p>
        </w:tc>
        <w:tc>
          <w:tcPr/>
          <w:p>
            <w:pPr>
              <w:pStyle w:val="Compact"/>
              <w:jc w:val="left"/>
            </w:pPr>
            <w:r>
              <w:t xml:space="preserve">Lounge and communal table</w:t>
            </w:r>
          </w:p>
        </w:tc>
        <w:tc>
          <w:tcPr/>
          <w:p>
            <w:pPr>
              <w:pStyle w:val="Compact"/>
              <w:jc w:val="left"/>
            </w:pPr>
            <w:r>
              <w:t xml:space="preserve">Attractive</w:t>
            </w:r>
          </w:p>
        </w:tc>
        <w:tc>
          <w:tcPr/>
          <w:p>
            <w:pPr>
              <w:pStyle w:val="Compact"/>
              <w:jc w:val="left"/>
            </w:pPr>
            <w:r>
              <w:t xml:space="preserve">Lounge / The Level</w:t>
            </w:r>
          </w:p>
        </w:tc>
        <w:tc>
          <w:tcPr/>
          <w:p>
            <w:pPr>
              <w:pStyle w:val="Compact"/>
              <w:jc w:val="left"/>
            </w:pPr>
            <w:r>
              <w:t xml:space="preserve">Strength: flexible work-and-dine space</w:t>
            </w:r>
          </w:p>
        </w:tc>
      </w:tr>
      <w:tr>
        <w:tc>
          <w:tcPr/>
          <w:p>
            <w:pPr>
              <w:pStyle w:val="Compact"/>
              <w:jc w:val="left"/>
            </w:pPr>
            <w:r>
              <w:t xml:space="preserve">5</w:t>
            </w:r>
          </w:p>
        </w:tc>
        <w:tc>
          <w:tcPr/>
          <w:p>
            <w:pPr>
              <w:pStyle w:val="Compact"/>
              <w:jc w:val="left"/>
            </w:pPr>
            <w:r>
              <w:t xml:space="preserve">Room tea and coffee with smeared marble</w:t>
            </w:r>
          </w:p>
        </w:tc>
        <w:tc>
          <w:tcPr/>
          <w:p>
            <w:pPr>
              <w:pStyle w:val="Compact"/>
              <w:jc w:val="left"/>
            </w:pPr>
            <w:r>
              <w:t xml:space="preserve">Must-be and attractive</w:t>
            </w:r>
          </w:p>
        </w:tc>
        <w:tc>
          <w:tcPr/>
          <w:p>
            <w:pPr>
              <w:pStyle w:val="Compact"/>
              <w:jc w:val="left"/>
            </w:pPr>
            <w:r>
              <w:t xml:space="preserve">Room</w:t>
            </w:r>
          </w:p>
        </w:tc>
        <w:tc>
          <w:tcPr/>
          <w:p>
            <w:pPr>
              <w:pStyle w:val="Compact"/>
              <w:jc w:val="left"/>
            </w:pPr>
            <w:r>
              <w:t xml:space="preserve">Gap: instant coffee off-brand</w:t>
            </w:r>
          </w:p>
        </w:tc>
      </w:tr>
      <w:tr>
        <w:tc>
          <w:tcPr/>
          <w:p>
            <w:pPr>
              <w:pStyle w:val="Compact"/>
              <w:jc w:val="left"/>
            </w:pPr>
            <w:r>
              <w:t xml:space="preserve">6</w:t>
            </w:r>
          </w:p>
        </w:tc>
        <w:tc>
          <w:tcPr/>
          <w:p>
            <w:pPr>
              <w:pStyle w:val="Compact"/>
              <w:jc w:val="left"/>
            </w:pPr>
            <w:r>
              <w:t xml:space="preserve">Gym AC grille and cornice</w:t>
            </w:r>
          </w:p>
        </w:tc>
        <w:tc>
          <w:tcPr/>
          <w:p>
            <w:pPr>
              <w:pStyle w:val="Compact"/>
              <w:jc w:val="left"/>
            </w:pPr>
            <w:r>
              <w:t xml:space="preserve">Must-be</w:t>
            </w:r>
          </w:p>
        </w:tc>
        <w:tc>
          <w:tcPr/>
          <w:p>
            <w:pPr>
              <w:pStyle w:val="Compact"/>
              <w:jc w:val="left"/>
            </w:pPr>
            <w:r>
              <w:t xml:space="preserve">Gym / wellness</w:t>
            </w:r>
          </w:p>
        </w:tc>
        <w:tc>
          <w:tcPr/>
          <w:p>
            <w:pPr>
              <w:pStyle w:val="Compact"/>
              <w:jc w:val="left"/>
            </w:pPr>
            <w:r>
              <w:t xml:space="preserve">Gap: dusty grille, patched plaster</w:t>
            </w:r>
          </w:p>
        </w:tc>
      </w:tr>
      <w:tr>
        <w:tc>
          <w:tcPr/>
          <w:p>
            <w:pPr>
              <w:pStyle w:val="Compact"/>
              <w:jc w:val="left"/>
            </w:pPr>
            <w:r>
              <w:t xml:space="preserve">7</w:t>
            </w:r>
          </w:p>
        </w:tc>
        <w:tc>
          <w:tcPr/>
          <w:p>
            <w:pPr>
              <w:pStyle w:val="Compact"/>
              <w:jc w:val="left"/>
            </w:pPr>
            <w:r>
              <w:t xml:space="preserve">Corridor with linen cart</w:t>
            </w:r>
          </w:p>
        </w:tc>
        <w:tc>
          <w:tcPr/>
          <w:p>
            <w:pPr>
              <w:pStyle w:val="Compact"/>
              <w:jc w:val="left"/>
            </w:pPr>
            <w:r>
              <w:t xml:space="preserve">Must-be</w:t>
            </w:r>
          </w:p>
        </w:tc>
        <w:tc>
          <w:tcPr/>
          <w:p>
            <w:pPr>
              <w:pStyle w:val="Compact"/>
              <w:jc w:val="left"/>
            </w:pPr>
            <w:r>
              <w:t xml:space="preserve">Corridor</w:t>
            </w:r>
          </w:p>
        </w:tc>
        <w:tc>
          <w:tcPr/>
          <w:p>
            <w:pPr>
              <w:pStyle w:val="Compact"/>
              <w:jc w:val="left"/>
            </w:pPr>
            <w:r>
              <w:t xml:space="preserve">Minor gap: back-of-house visible</w:t>
            </w:r>
          </w:p>
        </w:tc>
      </w:tr>
      <w:tr>
        <w:tc>
          <w:tcPr/>
          <w:p>
            <w:pPr>
              <w:pStyle w:val="Compact"/>
              <w:jc w:val="left"/>
            </w:pPr>
            <w:r>
              <w:t xml:space="preserve">8</w:t>
            </w:r>
          </w:p>
        </w:tc>
        <w:tc>
          <w:tcPr/>
          <w:p>
            <w:pPr>
              <w:pStyle w:val="Compact"/>
              <w:jc w:val="left"/>
            </w:pPr>
            <w:r>
              <w:t xml:space="preserve">’35 Bar and Lounge</w:t>
            </w:r>
          </w:p>
        </w:tc>
        <w:tc>
          <w:tcPr/>
          <w:p>
            <w:pPr>
              <w:pStyle w:val="Compact"/>
              <w:jc w:val="left"/>
            </w:pPr>
            <w:r>
              <w:t xml:space="preserve">Attractive</w:t>
            </w:r>
          </w:p>
        </w:tc>
        <w:tc>
          <w:tcPr/>
          <w:p>
            <w:pPr>
              <w:pStyle w:val="Compact"/>
              <w:jc w:val="left"/>
            </w:pPr>
            <w:r>
              <w:t xml:space="preserve">Bar</w:t>
            </w:r>
          </w:p>
        </w:tc>
        <w:tc>
          <w:tcPr/>
          <w:p>
            <w:pPr>
              <w:pStyle w:val="Compact"/>
              <w:jc w:val="left"/>
            </w:pPr>
            <w:r>
              <w:t xml:space="preserve">Strength; usage unknown</w:t>
            </w:r>
          </w:p>
        </w:tc>
      </w:tr>
    </w:tbl>
    <w:p>
      <w:pPr>
        <w:pStyle w:val="BodyText"/>
      </w:pPr>
      <w:r>
        <w:t xml:space="preserve">This log records your visit notes as supplied in the blueprint. It has not been checked against the photographs.</w:t>
      </w:r>
    </w:p>
    <w:bookmarkEnd w:id="28"/>
    <w:bookmarkStart w:id="29" w:name="appendix-2-source-map"/>
    <w:p>
      <w:pPr>
        <w:pStyle w:val="Heading2"/>
      </w:pPr>
      <w:r>
        <w:t xml:space="preserve">Appendix 2: Source 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Can prove</w:t>
            </w:r>
          </w:p>
        </w:tc>
        <w:tc>
          <w:tcPr/>
          <w:p>
            <w:pPr>
              <w:pStyle w:val="Compact"/>
              <w:jc w:val="left"/>
            </w:pPr>
            <w:r>
              <w:t xml:space="preserve">Cannot prove</w:t>
            </w:r>
          </w:p>
        </w:tc>
        <w:tc>
          <w:tcPr/>
          <w:p>
            <w:pPr>
              <w:pStyle w:val="Compact"/>
              <w:jc w:val="left"/>
            </w:pPr>
            <w:r>
              <w:t xml:space="preserve">Handle with</w:t>
            </w:r>
          </w:p>
        </w:tc>
      </w:tr>
      <w:tr>
        <w:tc>
          <w:tcPr/>
          <w:p>
            <w:pPr>
              <w:pStyle w:val="Compact"/>
              <w:jc w:val="left"/>
            </w:pPr>
            <w:r>
              <w:t xml:space="preserve">Visit observation and photos, 9 September 2025</w:t>
            </w:r>
          </w:p>
        </w:tc>
        <w:tc>
          <w:tcPr/>
          <w:p>
            <w:pPr>
              <w:pStyle w:val="Compact"/>
              <w:jc w:val="left"/>
            </w:pPr>
            <w:r>
              <w:t xml:space="preserve">What a guest sees in public areas on one day</w:t>
            </w:r>
          </w:p>
        </w:tc>
        <w:tc>
          <w:tcPr/>
          <w:p>
            <w:pPr>
              <w:pStyle w:val="Compact"/>
              <w:jc w:val="left"/>
            </w:pPr>
            <w:r>
              <w:t xml:space="preserve">Typical standards across the year</w:t>
            </w:r>
          </w:p>
        </w:tc>
        <w:tc>
          <w:tcPr/>
          <w:p>
            <w:pPr>
              <w:pStyle w:val="Compact"/>
              <w:jc w:val="left"/>
            </w:pPr>
            <w:r>
              <w:t xml:space="preserve">Say</w:t>
            </w:r>
            <w:r>
              <w:t xml:space="preserve"> </w:t>
            </w:r>
            <w:r>
              <w:t xml:space="preserve">“</w:t>
            </w:r>
            <w:r>
              <w:t xml:space="preserve">on the day observed</w:t>
            </w:r>
            <w:r>
              <w:t xml:space="preserve">”</w:t>
            </w:r>
          </w:p>
        </w:tc>
      </w:tr>
      <w:tr>
        <w:tc>
          <w:tcPr/>
          <w:p>
            <w:pPr>
              <w:pStyle w:val="Compact"/>
              <w:jc w:val="left"/>
            </w:pPr>
            <w:r>
              <w:t xml:space="preserve">Staff session</w:t>
            </w:r>
          </w:p>
        </w:tc>
        <w:tc>
          <w:tcPr/>
          <w:p>
            <w:pPr>
              <w:pStyle w:val="Compact"/>
              <w:jc w:val="left"/>
            </w:pPr>
            <w:r>
              <w:t xml:space="preserve">How staff describe the positioning</w:t>
            </w:r>
          </w:p>
        </w:tc>
        <w:tc>
          <w:tcPr/>
          <w:p>
            <w:pPr>
              <w:pStyle w:val="Compact"/>
              <w:jc w:val="left"/>
            </w:pPr>
            <w:r>
              <w:t xml:space="preserve">Official policy; the session was careers-led and informal</w:t>
            </w:r>
          </w:p>
        </w:tc>
        <w:tc>
          <w:tcPr/>
          <w:p>
            <w:pPr>
              <w:pStyle w:val="Compact"/>
              <w:jc w:val="left"/>
            </w:pPr>
            <w:r>
              <w:t xml:space="preserve">Paraphrase; do not quote as policy</w:t>
            </w:r>
          </w:p>
        </w:tc>
      </w:tr>
      <w:tr>
        <w:tc>
          <w:tcPr/>
          <w:p>
            <w:pPr>
              <w:pStyle w:val="Compact"/>
              <w:jc w:val="left"/>
            </w:pPr>
            <w:r>
              <w:t xml:space="preserve">Camden planning documents</w:t>
            </w:r>
          </w:p>
        </w:tc>
        <w:tc>
          <w:tcPr/>
          <w:p>
            <w:pPr>
              <w:pStyle w:val="Compact"/>
              <w:jc w:val="left"/>
            </w:pPr>
            <w:r>
              <w:t xml:space="preserve">Listing, building form, room count</w:t>
            </w:r>
          </w:p>
        </w:tc>
        <w:tc>
          <w:tcPr/>
          <w:p>
            <w:pPr>
              <w:pStyle w:val="Compact"/>
              <w:jc w:val="left"/>
            </w:pPr>
            <w:r>
              <w:t xml:space="preserve">Current operations; dates may be unclear</w:t>
            </w:r>
          </w:p>
        </w:tc>
        <w:tc>
          <w:tcPr/>
          <w:p>
            <w:pPr>
              <w:pStyle w:val="Compact"/>
              <w:jc w:val="left"/>
            </w:pPr>
            <w:r>
              <w:t xml:space="preserve">Cite date; note the room-count conflict</w:t>
            </w:r>
          </w:p>
        </w:tc>
      </w:tr>
      <w:tr>
        <w:tc>
          <w:tcPr/>
          <w:p>
            <w:pPr>
              <w:pStyle w:val="Compact"/>
              <w:jc w:val="left"/>
            </w:pPr>
            <w:r>
              <w:t xml:space="preserve">Meliá press release (Hospitality Net, 2023)</w:t>
            </w:r>
          </w:p>
        </w:tc>
        <w:tc>
          <w:tcPr/>
          <w:p>
            <w:pPr>
              <w:pStyle w:val="Compact"/>
              <w:jc w:val="left"/>
            </w:pPr>
            <w:r>
              <w:t xml:space="preserve">The promise the brand makes</w:t>
            </w:r>
          </w:p>
        </w:tc>
        <w:tc>
          <w:tcPr/>
          <w:p>
            <w:pPr>
              <w:pStyle w:val="Compact"/>
              <w:jc w:val="left"/>
            </w:pPr>
            <w:r>
              <w:t xml:space="preserve">Whether it is kept</w:t>
            </w:r>
          </w:p>
        </w:tc>
        <w:tc>
          <w:tcPr/>
          <w:p>
            <w:pPr>
              <w:pStyle w:val="Compact"/>
              <w:jc w:val="left"/>
            </w:pPr>
            <w:r>
              <w:t xml:space="preserve">Treat as promotional</w:t>
            </w:r>
          </w:p>
        </w:tc>
      </w:tr>
      <w:tr>
        <w:tc>
          <w:tcPr/>
          <w:p>
            <w:pPr>
              <w:pStyle w:val="Compact"/>
              <w:jc w:val="left"/>
            </w:pPr>
            <w:r>
              <w:t xml:space="preserve">Business Traveller (2024)</w:t>
            </w:r>
          </w:p>
        </w:tc>
        <w:tc>
          <w:tcPr/>
          <w:p>
            <w:pPr>
              <w:pStyle w:val="Compact"/>
              <w:jc w:val="left"/>
            </w:pPr>
            <w:r>
              <w:t xml:space="preserve">Co-working offer and renovation figures from an independent outlet</w:t>
            </w:r>
          </w:p>
        </w:tc>
        <w:tc>
          <w:tcPr/>
          <w:p>
            <w:pPr>
              <w:pStyle w:val="Compact"/>
              <w:jc w:val="left"/>
            </w:pPr>
            <w:r>
              <w:t xml:space="preserve">Uptake or revenue; possible partner input</w:t>
            </w:r>
          </w:p>
        </w:tc>
        <w:tc>
          <w:tcPr/>
          <w:p>
            <w:pPr>
              <w:pStyle w:val="Compact"/>
              <w:jc w:val="left"/>
            </w:pPr>
            <w:r>
              <w:t xml:space="preserve">Cite exact date</w:t>
            </w:r>
          </w:p>
        </w:tc>
      </w:tr>
      <w:tr>
        <w:tc>
          <w:tcPr/>
          <w:p>
            <w:pPr>
              <w:pStyle w:val="Compact"/>
              <w:jc w:val="left"/>
            </w:pPr>
            <w:r>
              <w:t xml:space="preserve">Brand Finance, S&amp;P coverage</w:t>
            </w:r>
          </w:p>
        </w:tc>
        <w:tc>
          <w:tcPr/>
          <w:p>
            <w:pPr>
              <w:pStyle w:val="Compact"/>
              <w:jc w:val="left"/>
            </w:pPr>
            <w:r>
              <w:t xml:space="preserve">Group-level standing</w:t>
            </w:r>
          </w:p>
        </w:tc>
        <w:tc>
          <w:tcPr/>
          <w:p>
            <w:pPr>
              <w:pStyle w:val="Compact"/>
              <w:jc w:val="left"/>
            </w:pPr>
            <w:r>
              <w:t xml:space="preserve">Anything about this hotel</w:t>
            </w:r>
          </w:p>
        </w:tc>
        <w:tc>
          <w:tcPr/>
          <w:p>
            <w:pPr>
              <w:pStyle w:val="Compact"/>
              <w:jc w:val="left"/>
            </w:pPr>
            <w:r>
              <w:t xml:space="preserve">Attribute as claims, not facts</w:t>
            </w:r>
          </w:p>
        </w:tc>
      </w:tr>
      <w:tr>
        <w:tc>
          <w:tcPr/>
          <w:p>
            <w:pPr>
              <w:pStyle w:val="Compact"/>
              <w:jc w:val="left"/>
            </w:pPr>
            <w:r>
              <w:t xml:space="preserve">Reviews (3 platforms)</w:t>
            </w:r>
          </w:p>
        </w:tc>
        <w:tc>
          <w:tcPr/>
          <w:p>
            <w:pPr>
              <w:pStyle w:val="Compact"/>
              <w:jc w:val="left"/>
            </w:pPr>
            <w:r>
              <w:t xml:space="preserve">Guest voice and recurring themes</w:t>
            </w:r>
          </w:p>
        </w:tc>
        <w:tc>
          <w:tcPr/>
          <w:p>
            <w:pPr>
              <w:pStyle w:val="Compact"/>
              <w:jc w:val="left"/>
            </w:pPr>
            <w:r>
              <w:t xml:space="preserve">Representativeness</w:t>
            </w:r>
          </w:p>
        </w:tc>
        <w:tc>
          <w:tcPr/>
          <w:p>
            <w:pPr>
              <w:pStyle w:val="Compact"/>
              <w:jc w:val="left"/>
            </w:pPr>
            <w:r>
              <w:t xml:space="preserve">Indicative sample only (Litvin et al., 2008)</w:t>
            </w:r>
          </w:p>
        </w:tc>
      </w:tr>
    </w:tbl>
    <w:bookmarkEnd w:id="29"/>
    <w:bookmarkStart w:id="30" w:name="X1d0e27963205ec0af2f636e3873311acb947f04"/>
    <w:p>
      <w:pPr>
        <w:pStyle w:val="Heading2"/>
      </w:pPr>
      <w:r>
        <w:t xml:space="preserve">Appendix 3: Fact check (status as of 8 October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£40m renovation over five years</w:t>
            </w:r>
          </w:p>
        </w:tc>
        <w:tc>
          <w:tcPr/>
          <w:p>
            <w:pPr>
              <w:pStyle w:val="Compact"/>
              <w:jc w:val="left"/>
            </w:pPr>
            <w:r>
              <w:t xml:space="preserve">Hospitality Net (2023) press release</w:t>
            </w:r>
          </w:p>
        </w:tc>
        <w:tc>
          <w:tcPr/>
          <w:p>
            <w:pPr>
              <w:pStyle w:val="Compact"/>
              <w:jc w:val="left"/>
            </w:pPr>
            <w:r>
              <w:t xml:space="preserve">Checked: stated in the release as retrieved</w:t>
            </w:r>
          </w:p>
        </w:tc>
      </w:tr>
      <w:tr>
        <w:tc>
          <w:tcPr/>
          <w:p>
            <w:pPr>
              <w:pStyle w:val="Compact"/>
              <w:jc w:val="left"/>
            </w:pPr>
            <w:r>
              <w:t xml:space="preserve">Completed April 2023</w:t>
            </w:r>
          </w:p>
        </w:tc>
        <w:tc>
          <w:tcPr/>
          <w:p>
            <w:pPr>
              <w:pStyle w:val="Compact"/>
              <w:jc w:val="left"/>
            </w:pPr>
            <w:r>
              <w:t xml:space="preserve">Business Traveller (2024)</w:t>
            </w:r>
          </w:p>
        </w:tc>
        <w:tc>
          <w:tcPr/>
          <w:p>
            <w:pPr>
              <w:pStyle w:val="Compact"/>
              <w:jc w:val="left"/>
            </w:pPr>
            <w:r>
              <w:t xml:space="preserve">Stated there. Another listing gives 2022 and Camden filings show works in 2025, so describe the main programme as complete</w:t>
            </w:r>
          </w:p>
        </w:tc>
      </w:tr>
      <w:tr>
        <w:tc>
          <w:tcPr/>
          <w:p>
            <w:pPr>
              <w:pStyle w:val="Compact"/>
              <w:jc w:val="left"/>
            </w:pPr>
            <w:r>
              <w:t xml:space="preserve">Co-working: ten workspaces from £40 a day; 10% off at Arado and ’35 Bar</w:t>
            </w:r>
          </w:p>
        </w:tc>
        <w:tc>
          <w:tcPr/>
          <w:p>
            <w:pPr>
              <w:pStyle w:val="Compact"/>
              <w:jc w:val="left"/>
            </w:pPr>
            <w:r>
              <w:t xml:space="preserve">Business Traveller (2024)</w:t>
            </w:r>
          </w:p>
        </w:tc>
        <w:tc>
          <w:tcPr/>
          <w:p>
            <w:pPr>
              <w:pStyle w:val="Compact"/>
              <w:jc w:val="left"/>
            </w:pPr>
            <w:r>
              <w:t xml:space="preserve">Checked: confirmed in the article; prices may have changed since April 2024</w:t>
            </w:r>
          </w:p>
        </w:tc>
      </w:tr>
      <w:tr>
        <w:tc>
          <w:tcPr/>
          <w:p>
            <w:pPr>
              <w:pStyle w:val="Compact"/>
              <w:jc w:val="left"/>
            </w:pPr>
            <w:r>
              <w:t xml:space="preserve">Grade II listed, 1930s building</w:t>
            </w:r>
          </w:p>
        </w:tc>
        <w:tc>
          <w:tcPr/>
          <w:p>
            <w:pPr>
              <w:pStyle w:val="Compact"/>
              <w:jc w:val="left"/>
            </w:pPr>
            <w:r>
              <w:t xml:space="preserve">Camden documents; trade press</w:t>
            </w:r>
          </w:p>
        </w:tc>
        <w:tc>
          <w:tcPr/>
          <w:p>
            <w:pPr>
              <w:pStyle w:val="Compact"/>
              <w:jc w:val="left"/>
            </w:pPr>
            <w:r>
              <w:t xml:space="preserve">Consistent across sources. Cross-check with the Historic England list entry (not yet done)</w:t>
            </w:r>
          </w:p>
        </w:tc>
      </w:tr>
      <w:tr>
        <w:tc>
          <w:tcPr/>
          <w:p>
            <w:pPr>
              <w:pStyle w:val="Compact"/>
              <w:jc w:val="left"/>
            </w:pPr>
            <w:r>
              <w:t xml:space="preserve">Room count</w:t>
            </w:r>
          </w:p>
        </w:tc>
        <w:tc>
          <w:tcPr/>
          <w:p>
            <w:pPr>
              <w:pStyle w:val="Compact"/>
              <w:jc w:val="left"/>
            </w:pPr>
            <w:r>
              <w:t xml:space="preserve">Hospitality Net (2023): 581; Camden Council (2025): 548</w:t>
            </w:r>
          </w:p>
        </w:tc>
        <w:tc>
          <w:tcPr/>
          <w:p>
            <w:pPr>
              <w:pStyle w:val="Compact"/>
              <w:jc w:val="left"/>
            </w:pPr>
            <w:r>
              <w:t xml:space="preserve">Sources conflict. Reported in Chapter 2 with both sources named</w:t>
            </w:r>
          </w:p>
        </w:tc>
      </w:tr>
      <w:tr>
        <w:tc>
          <w:tcPr/>
          <w:p>
            <w:pPr>
              <w:pStyle w:val="Compact"/>
              <w:jc w:val="left"/>
            </w:pPr>
            <w:r>
              <w:t xml:space="preserve">Premium and luxury about 65% of portfolio</w:t>
            </w:r>
          </w:p>
        </w:tc>
        <w:tc>
          <w:tcPr/>
          <w:p>
            <w:pPr>
              <w:pStyle w:val="Compact"/>
              <w:jc w:val="left"/>
            </w:pPr>
            <w:r>
              <w:t xml:space="preserve">Journal des Palaces (2026) on Brand Finance</w:t>
            </w:r>
          </w:p>
        </w:tc>
        <w:tc>
          <w:tcPr/>
          <w:p>
            <w:pPr>
              <w:pStyle w:val="Compact"/>
              <w:jc w:val="left"/>
            </w:pPr>
            <w:r>
              <w:t xml:space="preserve">NOT verified. A ranking source, not an audit; keep attributed</w:t>
            </w:r>
          </w:p>
        </w:tc>
      </w:tr>
      <w:tr>
        <w:tc>
          <w:tcPr/>
          <w:p>
            <w:pPr>
              <w:pStyle w:val="Compact"/>
              <w:jc w:val="left"/>
            </w:pPr>
            <w:r>
              <w:t xml:space="preserve">Group sustainability standing</w:t>
            </w:r>
          </w:p>
        </w:tc>
        <w:tc>
          <w:tcPr/>
          <w:p>
            <w:pPr>
              <w:pStyle w:val="Compact"/>
              <w:jc w:val="left"/>
            </w:pPr>
            <w:r>
              <w:t xml:space="preserve">Breaking Travel News (2026) on S&amp;P Global</w:t>
            </w:r>
          </w:p>
        </w:tc>
        <w:tc>
          <w:tcPr/>
          <w:p>
            <w:pPr>
              <w:pStyle w:val="Compact"/>
              <w:jc w:val="left"/>
            </w:pPr>
            <w:r>
              <w:t xml:space="preserve">NOT verified. Corporate claim</w:t>
            </w:r>
          </w:p>
        </w:tc>
      </w:tr>
      <w:tr>
        <w:tc>
          <w:tcPr/>
          <w:p>
            <w:pPr>
              <w:pStyle w:val="Compact"/>
              <w:jc w:val="left"/>
            </w:pPr>
            <w:r>
              <w:t xml:space="preserve">Rooms about £300 (staff) and about £117 (booking sites)</w:t>
            </w:r>
          </w:p>
        </w:tc>
        <w:tc>
          <w:tcPr/>
          <w:p>
            <w:pPr>
              <w:pStyle w:val="Compact"/>
              <w:jc w:val="left"/>
            </w:pPr>
            <w:r>
              <w:t xml:space="preserve">Staff session; booking site</w:t>
            </w:r>
          </w:p>
        </w:tc>
        <w:tc>
          <w:tcPr/>
          <w:p>
            <w:pPr>
              <w:pStyle w:val="Compact"/>
              <w:jc w:val="left"/>
            </w:pPr>
            <w:r>
              <w:t xml:space="preserve">NOT verified. Record the site and date of the £117 price</w:t>
            </w:r>
          </w:p>
        </w:tc>
      </w:tr>
      <w:tr>
        <w:tc>
          <w:tcPr/>
          <w:p>
            <w:pPr>
              <w:pStyle w:val="Compact"/>
              <w:jc w:val="left"/>
            </w:pPr>
            <w:r>
              <w:t xml:space="preserve">Visit date and year</w:t>
            </w:r>
          </w:p>
        </w:tc>
        <w:tc>
          <w:tcPr/>
          <w:p>
            <w:pPr>
              <w:pStyle w:val="Compact"/>
              <w:jc w:val="left"/>
            </w:pPr>
            <w:r>
              <w:t xml:space="preserve">Your own notes</w:t>
            </w:r>
          </w:p>
        </w:tc>
        <w:tc>
          <w:tcPr/>
          <w:p>
            <w:pPr>
              <w:pStyle w:val="Compact"/>
              <w:jc w:val="left"/>
            </w:pPr>
            <w:r>
              <w:t xml:space="preserve">To confirm</w:t>
            </w:r>
          </w:p>
        </w:tc>
      </w:tr>
    </w:tbl>
    <w:bookmarkEnd w:id="30"/>
    <w:bookmarkStart w:id="31" w:name="Xce85ddd8ac2e374db4e17360f410f0600cc834a"/>
    <w:p>
      <w:pPr>
        <w:pStyle w:val="Heading2"/>
      </w:pPr>
      <w:r>
        <w:t xml:space="preserve">Appendix 4: Review sample, coding sheet and chart</w:t>
      </w:r>
    </w:p>
    <w:p>
      <w:pPr>
        <w:pStyle w:val="FirstParagraph"/>
      </w:pPr>
      <w:r>
        <w:t xml:space="preserve">Sampling protocol: 36 reviews from the last 12 months, 12 each from TripAdvisor, Google and one booking site; on each platform 4 positive, 4 mixed and 4 negative. Code each review once per touchpoint mentioned (+ or −) and tag the Kano type. Paraphrase; do not copy reviewer text. Indicative sample only (Litvin et al., 2008; Sparks and Browning, 2011 if you cite it).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Touchpoint</w:t>
            </w:r>
          </w:p>
        </w:tc>
        <w:tc>
          <w:tcPr/>
          <w:p>
            <w:pPr>
              <w:pStyle w:val="Compact"/>
              <w:jc w:val="left"/>
            </w:pPr>
            <w:r>
              <w:t xml:space="preserve">+</w:t>
            </w:r>
          </w:p>
        </w:tc>
        <w:tc>
          <w:tcPr/>
          <w:p>
            <w:pPr>
              <w:pStyle w:val="Compact"/>
              <w:jc w:val="left"/>
            </w:pPr>
            <w:r>
              <w:t xml:space="preserve">−</w:t>
            </w:r>
          </w:p>
        </w:tc>
        <w:tc>
          <w:tcPr/>
          <w:p>
            <w:pPr>
              <w:pStyle w:val="Compact"/>
              <w:jc w:val="left"/>
            </w:pPr>
            <w:r>
              <w:t xml:space="preserve">Kano type</w:t>
            </w:r>
          </w:p>
        </w:tc>
        <w:tc>
          <w:tcPr/>
          <w:p>
            <w:pPr>
              <w:pStyle w:val="Compact"/>
              <w:jc w:val="left"/>
            </w:pPr>
            <w:r>
              <w:t xml:space="preserve">Example (paraphrase, platform, month)</w:t>
            </w:r>
          </w:p>
        </w:tc>
      </w:tr>
      <w:tr>
        <w:tc>
          <w:tcPr/>
          <w:p>
            <w:pPr>
              <w:pStyle w:val="Compact"/>
              <w:jc w:val="left"/>
            </w:pPr>
            <w:r>
              <w:t xml:space="preserve">Arrival and lobby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Room and bathroom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Breakfast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’35 Bar, lounge, The Level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Staff and recovery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Price and value</w:t>
            </w:r>
          </w:p>
        </w:tc>
        <w:tc>
          <w:tcPr/>
          <w:p>
            <w:pPr>
              <w:pStyle w:val="Compact"/>
            </w:pPr>
          </w:p>
        </w:tc>
        <w:tc>
          <w:tcPr/>
          <w:p>
            <w:pPr>
              <w:pStyle w:val="Compact"/>
            </w:pPr>
          </w:p>
        </w:tc>
        <w:tc>
          <w:tcPr/>
          <w:p>
            <w:pPr>
              <w:pStyle w:val="Compact"/>
            </w:pPr>
          </w:p>
        </w:tc>
        <w:tc>
          <w:tcPr/>
          <w:p>
            <w:pPr>
              <w:pStyle w:val="Compact"/>
            </w:pPr>
          </w:p>
        </w:tc>
      </w:tr>
    </w:tbl>
    <w:p>
      <w:pPr>
        <w:pStyle w:val="BodyText"/>
      </w:pPr>
      <w:r>
        <w:t xml:space="preserve">[TO BE COMPLETED FROM YOUR OWN REVIEWS. I have not invented any review data. Add a stacked bar chart (+ against −) per touchpoint and one line in Chapter 5 on what it cannot show.]</w:t>
      </w:r>
    </w:p>
    <w:bookmarkEnd w:id="31"/>
    <w:bookmarkStart w:id="32" w:name="appendix-5-promise-versus-proof-ledger"/>
    <w:p>
      <w:pPr>
        <w:pStyle w:val="Heading2"/>
      </w:pPr>
      <w:r>
        <w:t xml:space="preserve">Appendix 5: Promise-versus-proof ledger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Promise</w:t>
            </w:r>
          </w:p>
        </w:tc>
        <w:tc>
          <w:tcPr/>
          <w:p>
            <w:pPr>
              <w:pStyle w:val="Compact"/>
              <w:jc w:val="left"/>
            </w:pPr>
            <w:r>
              <w:t xml:space="preserve">Proof seen</w:t>
            </w:r>
          </w:p>
        </w:tc>
        <w:tc>
          <w:tcPr/>
          <w:p>
            <w:pPr>
              <w:pStyle w:val="Compact"/>
              <w:jc w:val="left"/>
            </w:pPr>
            <w:r>
              <w:t xml:space="preserve">Status</w:t>
            </w:r>
          </w:p>
        </w:tc>
        <w:tc>
          <w:tcPr/>
          <w:p>
            <w:pPr>
              <w:pStyle w:val="Compact"/>
              <w:jc w:val="left"/>
            </w:pPr>
            <w:r>
              <w:t xml:space="preserve">Type</w:t>
            </w:r>
          </w:p>
        </w:tc>
        <w:tc>
          <w:tcPr/>
          <w:p>
            <w:pPr>
              <w:pStyle w:val="Compact"/>
              <w:jc w:val="left"/>
            </w:pPr>
            <w:r>
              <w:t xml:space="preserve">Evidence</w:t>
            </w:r>
          </w:p>
        </w:tc>
      </w:tr>
      <w:tr>
        <w:tc>
          <w:tcPr/>
          <w:p>
            <w:pPr>
              <w:pStyle w:val="Compact"/>
              <w:jc w:val="left"/>
            </w:pPr>
            <w:r>
              <w:t xml:space="preserve">Premium,</w:t>
            </w:r>
            <w:r>
              <w:t xml:space="preserve"> </w:t>
            </w:r>
            <w:r>
              <w:t xml:space="preserve">“</w:t>
            </w:r>
            <w:r>
              <w:t xml:space="preserve">exceeds expectations</w:t>
            </w:r>
            <w:r>
              <w:t xml:space="preserve">”</w:t>
            </w:r>
            <w:r>
              <w:t xml:space="preserve"> </w:t>
            </w:r>
            <w:r>
              <w:t xml:space="preserve">(press release)</w:t>
            </w:r>
          </w:p>
        </w:tc>
        <w:tc>
          <w:tcPr/>
          <w:p>
            <w:pPr>
              <w:pStyle w:val="Compact"/>
              <w:jc w:val="left"/>
            </w:pPr>
            <w:r>
              <w:t xml:space="preserve">Tarnished lift door, dusty grille</w:t>
            </w:r>
          </w:p>
        </w:tc>
        <w:tc>
          <w:tcPr/>
          <w:p>
            <w:pPr>
              <w:pStyle w:val="Compact"/>
              <w:jc w:val="left"/>
            </w:pPr>
            <w:r>
              <w:t xml:space="preserve">Amber</w:t>
            </w:r>
          </w:p>
        </w:tc>
        <w:tc>
          <w:tcPr/>
          <w:p>
            <w:pPr>
              <w:pStyle w:val="Compact"/>
              <w:jc w:val="left"/>
            </w:pPr>
            <w:r>
              <w:t xml:space="preserve">Technical quality</w:t>
            </w:r>
          </w:p>
        </w:tc>
        <w:tc>
          <w:tcPr/>
          <w:p>
            <w:pPr>
              <w:pStyle w:val="Compact"/>
              <w:jc w:val="left"/>
            </w:pPr>
            <w:r>
              <w:t xml:space="preserve">Figs. 1, 6; fault reviews</w:t>
            </w:r>
          </w:p>
        </w:tc>
      </w:tr>
      <w:tr>
        <w:tc>
          <w:tcPr/>
          <w:p>
            <w:pPr>
              <w:pStyle w:val="Compact"/>
              <w:jc w:val="left"/>
            </w:pPr>
            <w:r>
              <w:t xml:space="preserve">Mediterranean F&amp;B identity</w:t>
            </w:r>
          </w:p>
        </w:tc>
        <w:tc>
          <w:tcPr/>
          <w:p>
            <w:pPr>
              <w:pStyle w:val="Compact"/>
              <w:jc w:val="left"/>
            </w:pPr>
            <w:r>
              <w:t xml:space="preserve">Strong in Arado and bar; instant coffee in room</w:t>
            </w:r>
          </w:p>
        </w:tc>
        <w:tc>
          <w:tcPr/>
          <w:p>
            <w:pPr>
              <w:pStyle w:val="Compact"/>
              <w:jc w:val="left"/>
            </w:pPr>
            <w:r>
              <w:t xml:space="preserve">Amber</w:t>
            </w:r>
          </w:p>
        </w:tc>
        <w:tc>
          <w:tcPr/>
          <w:p>
            <w:pPr>
              <w:pStyle w:val="Compact"/>
              <w:jc w:val="left"/>
            </w:pPr>
            <w:r>
              <w:t xml:space="preserve">Consistency</w:t>
            </w:r>
          </w:p>
        </w:tc>
        <w:tc>
          <w:tcPr/>
          <w:p>
            <w:pPr>
              <w:pStyle w:val="Compact"/>
              <w:jc w:val="left"/>
            </w:pPr>
            <w:r>
              <w:t xml:space="preserve">Figs. 2, 3, 5</w:t>
            </w:r>
          </w:p>
        </w:tc>
      </w:tr>
      <w:tr>
        <w:tc>
          <w:tcPr/>
          <w:p>
            <w:pPr>
              <w:pStyle w:val="Compact"/>
              <w:jc w:val="left"/>
            </w:pPr>
            <w:r>
              <w:t xml:space="preserve">Consistent Meliá standard at breakfast</w:t>
            </w:r>
          </w:p>
        </w:tc>
        <w:tc>
          <w:tcPr/>
          <w:p>
            <w:pPr>
              <w:pStyle w:val="Compact"/>
              <w:jc w:val="left"/>
            </w:pPr>
            <w:r>
              <w:t xml:space="preserve">Breakfast moved offsite after an electrical fault (one review)</w:t>
            </w:r>
          </w:p>
        </w:tc>
        <w:tc>
          <w:tcPr/>
          <w:p>
            <w:pPr>
              <w:pStyle w:val="Compact"/>
              <w:jc w:val="left"/>
            </w:pPr>
            <w:r>
              <w:t xml:space="preserve">Red</w:t>
            </w:r>
          </w:p>
        </w:tc>
        <w:tc>
          <w:tcPr/>
          <w:p>
            <w:pPr>
              <w:pStyle w:val="Compact"/>
              <w:jc w:val="left"/>
            </w:pPr>
            <w:r>
              <w:t xml:space="preserve">Functional (recovery)</w:t>
            </w:r>
          </w:p>
        </w:tc>
        <w:tc>
          <w:tcPr/>
          <w:p>
            <w:pPr>
              <w:pStyle w:val="Compact"/>
              <w:jc w:val="left"/>
            </w:pPr>
            <w:r>
              <w:t xml:space="preserve">Review</w:t>
            </w:r>
          </w:p>
        </w:tc>
      </w:tr>
      <w:tr>
        <w:tc>
          <w:tcPr/>
          <w:p>
            <w:pPr>
              <w:pStyle w:val="Compact"/>
              <w:jc w:val="left"/>
            </w:pPr>
            <w:r>
              <w:t xml:space="preserve">Heritage as an asset</w:t>
            </w:r>
          </w:p>
        </w:tc>
        <w:tc>
          <w:tcPr/>
          <w:p>
            <w:pPr>
              <w:pStyle w:val="Compact"/>
              <w:jc w:val="left"/>
            </w:pPr>
            <w:r>
              <w:t xml:space="preserve">Cornices, oak; patched plaster</w:t>
            </w:r>
          </w:p>
        </w:tc>
        <w:tc>
          <w:tcPr/>
          <w:p>
            <w:pPr>
              <w:pStyle w:val="Compact"/>
              <w:jc w:val="left"/>
            </w:pPr>
            <w:r>
              <w:t xml:space="preserve">Amber</w:t>
            </w:r>
          </w:p>
        </w:tc>
        <w:tc>
          <w:tcPr/>
          <w:p>
            <w:pPr>
              <w:pStyle w:val="Compact"/>
              <w:jc w:val="left"/>
            </w:pPr>
            <w:r>
              <w:t xml:space="preserve">Setting</w:t>
            </w:r>
          </w:p>
        </w:tc>
        <w:tc>
          <w:tcPr/>
          <w:p>
            <w:pPr>
              <w:pStyle w:val="Compact"/>
              <w:jc w:val="left"/>
            </w:pPr>
            <w:r>
              <w:t xml:space="preserve">Figs. 1, 6</w:t>
            </w:r>
          </w:p>
        </w:tc>
      </w:tr>
      <w:tr>
        <w:tc>
          <w:tcPr/>
          <w:p>
            <w:pPr>
              <w:pStyle w:val="Compact"/>
              <w:jc w:val="left"/>
            </w:pPr>
            <w:r>
              <w:t xml:space="preserve">A place to work and dine</w:t>
            </w:r>
          </w:p>
        </w:tc>
        <w:tc>
          <w:tcPr/>
          <w:p>
            <w:pPr>
              <w:pStyle w:val="Compact"/>
              <w:jc w:val="left"/>
            </w:pPr>
            <w:r>
              <w:t xml:space="preserve">Lounge and communal table; £40 day pass</w:t>
            </w:r>
          </w:p>
        </w:tc>
        <w:tc>
          <w:tcPr/>
          <w:p>
            <w:pPr>
              <w:pStyle w:val="Compact"/>
              <w:jc w:val="left"/>
            </w:pPr>
            <w:r>
              <w:t xml:space="preserve">Green</w:t>
            </w:r>
          </w:p>
        </w:tc>
        <w:tc>
          <w:tcPr/>
          <w:p>
            <w:pPr>
              <w:pStyle w:val="Compact"/>
              <w:jc w:val="left"/>
            </w:pPr>
            <w:r>
              <w:t xml:space="preserve">Enterprise</w:t>
            </w:r>
          </w:p>
        </w:tc>
        <w:tc>
          <w:tcPr/>
          <w:p>
            <w:pPr>
              <w:pStyle w:val="Compact"/>
              <w:jc w:val="left"/>
            </w:pPr>
            <w:r>
              <w:t xml:space="preserve">Fig. 4; Business Traveller (2024)</w:t>
            </w:r>
          </w:p>
        </w:tc>
      </w:tr>
      <w:tr>
        <w:tc>
          <w:tcPr/>
          <w:p>
            <w:pPr>
              <w:pStyle w:val="Compact"/>
              <w:jc w:val="left"/>
            </w:pPr>
            <w:r>
              <w:t xml:space="preserve">Strong breakfast</w:t>
            </w:r>
          </w:p>
        </w:tc>
        <w:tc>
          <w:tcPr/>
          <w:p>
            <w:pPr>
              <w:pStyle w:val="Compact"/>
              <w:jc w:val="left"/>
            </w:pPr>
            <w:r>
              <w:t xml:space="preserve">Mostly praised; one disappointed review</w:t>
            </w:r>
          </w:p>
        </w:tc>
        <w:tc>
          <w:tcPr/>
          <w:p>
            <w:pPr>
              <w:pStyle w:val="Compact"/>
              <w:jc w:val="left"/>
            </w:pPr>
            <w:r>
              <w:t xml:space="preserve">Green (mixed)</w:t>
            </w:r>
          </w:p>
        </w:tc>
        <w:tc>
          <w:tcPr/>
          <w:p>
            <w:pPr>
              <w:pStyle w:val="Compact"/>
              <w:jc w:val="left"/>
            </w:pPr>
            <w:r>
              <w:t xml:space="preserve">Technical quality</w:t>
            </w:r>
          </w:p>
        </w:tc>
        <w:tc>
          <w:tcPr/>
          <w:p>
            <w:pPr>
              <w:pStyle w:val="Compact"/>
              <w:jc w:val="left"/>
            </w:pPr>
            <w:r>
              <w:t xml:space="preserve">Reviews</w:t>
            </w:r>
          </w:p>
        </w:tc>
      </w:tr>
    </w:tbl>
    <w:bookmarkEnd w:id="32"/>
    <w:bookmarkStart w:id="33" w:name="appendix-6-90-day-timeline-estimates"/>
    <w:p>
      <w:pPr>
        <w:pStyle w:val="Heading2"/>
      </w:pPr>
      <w:r>
        <w:t xml:space="preserve">Appendix 6: 90-day timeline (estimates)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When</w:t>
            </w:r>
          </w:p>
        </w:tc>
        <w:tc>
          <w:tcPr/>
          <w:p>
            <w:pPr>
              <w:pStyle w:val="Compact"/>
              <w:jc w:val="left"/>
            </w:pPr>
            <w:r>
              <w:t xml:space="preserve">Action</w:t>
            </w:r>
          </w:p>
        </w:tc>
        <w:tc>
          <w:tcPr/>
          <w:p>
            <w:pPr>
              <w:pStyle w:val="Compact"/>
              <w:jc w:val="left"/>
            </w:pPr>
            <w:r>
              <w:t xml:space="preserve">Milestone</w:t>
            </w:r>
          </w:p>
        </w:tc>
      </w:tr>
      <w:tr>
        <w:tc>
          <w:tcPr/>
          <w:p>
            <w:pPr>
              <w:pStyle w:val="Compact"/>
              <w:jc w:val="left"/>
            </w:pPr>
            <w:r>
              <w:t xml:space="preserve">Days 1 to 30</w:t>
            </w:r>
          </w:p>
        </w:tc>
        <w:tc>
          <w:tcPr/>
          <w:p>
            <w:pPr>
              <w:pStyle w:val="Compact"/>
              <w:jc w:val="left"/>
            </w:pPr>
            <w:r>
              <w:t xml:space="preserve">R2, R1 sweep</w:t>
            </w:r>
          </w:p>
        </w:tc>
        <w:tc>
          <w:tcPr/>
          <w:p>
            <w:pPr>
              <w:pStyle w:val="Compact"/>
              <w:jc w:val="left"/>
            </w:pPr>
            <w:r>
              <w:t xml:space="preserve">Playbook signed off; sweep done; weekly walk begins</w:t>
            </w:r>
          </w:p>
        </w:tc>
      </w:tr>
      <w:tr>
        <w:tc>
          <w:tcPr/>
          <w:p>
            <w:pPr>
              <w:pStyle w:val="Compact"/>
              <w:jc w:val="left"/>
            </w:pPr>
            <w:r>
              <w:t xml:space="preserve">Days 31 to 60</w:t>
            </w:r>
          </w:p>
        </w:tc>
        <w:tc>
          <w:tcPr/>
          <w:p>
            <w:pPr>
              <w:pStyle w:val="Compact"/>
              <w:jc w:val="left"/>
            </w:pPr>
            <w:r>
              <w:t xml:space="preserve">R4, R1 weekly</w:t>
            </w:r>
          </w:p>
        </w:tc>
        <w:tc>
          <w:tcPr/>
          <w:p>
            <w:pPr>
              <w:pStyle w:val="Compact"/>
              <w:jc w:val="left"/>
            </w:pPr>
            <w:r>
              <w:t xml:space="preserve">Codes live on day passes; first redemption report</w:t>
            </w:r>
          </w:p>
        </w:tc>
      </w:tr>
      <w:tr>
        <w:tc>
          <w:tcPr/>
          <w:p>
            <w:pPr>
              <w:pStyle w:val="Compact"/>
              <w:jc w:val="left"/>
            </w:pPr>
            <w:r>
              <w:t xml:space="preserve">Days 61 to 90</w:t>
            </w:r>
          </w:p>
        </w:tc>
        <w:tc>
          <w:tcPr/>
          <w:p>
            <w:pPr>
              <w:pStyle w:val="Compact"/>
              <w:jc w:val="left"/>
            </w:pPr>
            <w:r>
              <w:t xml:space="preserve">R3 pilot</w:t>
            </w:r>
          </w:p>
        </w:tc>
        <w:tc>
          <w:tcPr/>
          <w:p>
            <w:pPr>
              <w:pStyle w:val="Compact"/>
              <w:jc w:val="left"/>
            </w:pPr>
            <w:r>
              <w:t xml:space="preserve">One-floor pilot; review of mentions and spend; roll-out decision</w:t>
            </w:r>
          </w:p>
        </w:tc>
      </w:tr>
    </w:tbl>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a consultancy review of guest experience and food &amp; beverage at Meliá White House, London</dc:title>
  <dc:creator/>
  <cp:keywords/>
  <dcterms:created xsi:type="dcterms:W3CDTF">2026-10-08T05:59:42Z</dcterms:created>
  <dcterms:modified xsi:type="dcterms:W3CDTF">2026-10-08T05:59:42Z</dcterms:modified>
</cp:coreProperties>
</file>

<file path=docProps/custom.xml><?xml version="1.0" encoding="utf-8"?>
<Properties xmlns="http://schemas.openxmlformats.org/officeDocument/2006/custom-properties" xmlns:vt="http://schemas.openxmlformats.org/officeDocument/2006/docPropsVTypes"/>
</file>