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Cambria" w:cs="Cambria" w:eastAsia="Cambria" w:hAnsi="Cambria"/>
          <w:b/>
          <w:bCs/>
          <w:color w:val="8C1D1D"/>
          <w:sz w:val="48"/>
          <w:szCs w:val="48"/>
        </w:rPr>
        <w:t xml:space="preserve">Gastronomic Innovation Portfolio</w:t>
      </w:r>
    </w:p>
    <w:p>
      <w:pPr>
        <w:spacing w:after="800"/>
        <w:jc w:val="center"/>
      </w:pPr>
      <w:r>
        <w:rPr>
          <w:rFonts w:ascii="Cambria" w:cs="Cambria" w:eastAsia="Cambria" w:hAnsi="Cambria"/>
          <w:b/>
          <w:bCs/>
          <w:sz w:val="30"/>
          <w:szCs w:val="30"/>
        </w:rPr>
        <w:t xml:space="preserve">A Menu Evaluation and Redesign for Rules Restaurant, Covent Garden</w:t>
      </w:r>
    </w:p>
    <w:p>
      <w:pPr>
        <w:spacing w:after="120"/>
        <w:jc w:val="center"/>
      </w:pPr>
      <w:r>
        <w:rPr>
          <w:rFonts w:ascii="Calibri" w:cs="Calibri" w:eastAsia="Calibri" w:hAnsi="Calibri"/>
          <w:sz w:val="22"/>
          <w:szCs w:val="22"/>
        </w:rPr>
        <w:t xml:space="preserve">Module code: [insert module code]</w:t>
      </w:r>
    </w:p>
    <w:p>
      <w:pPr>
        <w:spacing w:after="120"/>
        <w:jc w:val="center"/>
      </w:pPr>
      <w:r>
        <w:rPr>
          <w:rFonts w:ascii="Calibri" w:cs="Calibri" w:eastAsia="Calibri" w:hAnsi="Calibri"/>
          <w:sz w:val="22"/>
          <w:szCs w:val="22"/>
        </w:rPr>
        <w:t xml:space="preserve">Declared word count: 4,000 (excluding tables, figure captions, references and appendices)</w:t>
      </w:r>
    </w:p>
    <w:p>
      <w:pPr>
        <w:spacing w:after="120"/>
        <w:jc w:val="center"/>
      </w:pPr>
      <w:r>
        <w:rPr>
          <w:rFonts w:ascii="Calibri" w:cs="Calibri" w:eastAsia="Calibri" w:hAnsi="Calibri"/>
          <w:sz w:val="22"/>
          <w:szCs w:val="22"/>
        </w:rPr>
        <w:t xml:space="preserve">Date: 31 August 2026</w:t>
      </w:r>
    </w:p>
    <w:p>
      <w:pPr>
        <w:spacing w:after="1200"/>
        <w:jc w:val="center"/>
      </w:pPr>
      <w:r>
        <w:rPr>
          <w:rFonts w:ascii="Calibri" w:cs="Calibri" w:eastAsia="Calibri" w:hAnsi="Calibri"/>
          <w:sz w:val="22"/>
          <w:szCs w:val="22"/>
        </w:rPr>
        <w:t xml:space="preserve">Author: [insert student name and ID]</w:t>
      </w:r>
    </w:p>
    <w:p>
      <w:r>
        <w:br w:type="page"/>
      </w:r>
    </w:p>
    <w:p>
      <w:pPr>
        <w:pStyle w:val="Heading1"/>
        <w:spacing w:after="200" w:before="360"/>
      </w:pPr>
      <w:r>
        <w:rPr>
          <w:rFonts w:ascii="Cambria" w:cs="Cambria" w:eastAsia="Cambria" w:hAnsi="Cambria"/>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mbria" w:cs="Cambria" w:eastAsia="Cambria" w:hAnsi="Cambria"/>
          <w:b/>
          <w:bCs/>
          <w:sz w:val="28"/>
          <w:szCs w:val="28"/>
        </w:rPr>
        <w:t xml:space="preserve">List of Tables</w:t>
      </w:r>
    </w:p>
    <w:p>
      <w:pPr>
        <w:spacing w:after="100" w:line="276"/>
      </w:pPr>
      <w:r>
        <w:rPr>
          <w:rFonts w:ascii="Calibri" w:cs="Calibri" w:eastAsia="Calibri" w:hAnsi="Calibri"/>
          <w:sz w:val="22"/>
          <w:szCs w:val="22"/>
        </w:rPr>
        <w:t xml:space="preserve">Table 1 — Competitor benchmark: Rules vs. St. JOHN (Section 2.3)</w:t>
      </w:r>
    </w:p>
    <w:p>
      <w:pPr>
        <w:spacing w:after="100" w:line="276"/>
      </w:pPr>
      <w:r>
        <w:rPr>
          <w:rFonts w:ascii="Calibri" w:cs="Calibri" w:eastAsia="Calibri" w:hAnsi="Calibri"/>
          <w:sz w:val="22"/>
          <w:szCs w:val="22"/>
        </w:rPr>
        <w:t xml:space="preserve">Table 2 — Gastronomy trends: evidence, source and verdict for Rules (Section 3.4)</w:t>
      </w:r>
    </w:p>
    <w:p>
      <w:pPr>
        <w:spacing w:after="100" w:line="276"/>
      </w:pPr>
      <w:r>
        <w:rPr>
          <w:rFonts w:ascii="Calibri" w:cs="Calibri" w:eastAsia="Calibri" w:hAnsi="Calibri"/>
          <w:sz w:val="22"/>
          <w:szCs w:val="22"/>
        </w:rPr>
        <w:t xml:space="preserve">Table 3 — Original vs proposed menu, dish-by-dish (Section 4.5)</w:t>
      </w:r>
    </w:p>
    <w:p>
      <w:pPr>
        <w:spacing w:after="100" w:line="276"/>
      </w:pPr>
      <w:r>
        <w:rPr>
          <w:rFonts w:ascii="Calibri" w:cs="Calibri" w:eastAsia="Calibri" w:hAnsi="Calibri"/>
          <w:sz w:val="22"/>
          <w:szCs w:val="22"/>
        </w:rPr>
        <w:t xml:space="preserve">Table 4 — Indicative food-cost and gross-profit comparison (Section 5.2)</w:t>
      </w:r>
    </w:p>
    <w:p>
      <w:pPr>
        <w:spacing w:after="300" w:line="276"/>
      </w:pPr>
      <w:r>
        <w:rPr>
          <w:rFonts w:ascii="Calibri" w:cs="Calibri" w:eastAsia="Calibri" w:hAnsi="Calibri"/>
          <w:sz w:val="22"/>
          <w:szCs w:val="22"/>
        </w:rPr>
        <w:t xml:space="preserve">Table 5 — Compliance checklist: Natasha's Law / HACCP / FHRS by dish (Section 5.3)</w:t>
      </w:r>
    </w:p>
    <w:p>
      <w:pPr>
        <w:pStyle w:val="Heading1"/>
        <w:spacing w:after="200" w:before="360"/>
      </w:pPr>
      <w:r>
        <w:rPr>
          <w:rFonts w:ascii="Cambria" w:cs="Cambria" w:eastAsia="Cambria" w:hAnsi="Cambria"/>
          <w:b/>
          <w:bCs/>
          <w:sz w:val="28"/>
          <w:szCs w:val="28"/>
        </w:rPr>
        <w:t xml:space="preserve">List of Figures</w:t>
      </w:r>
    </w:p>
    <w:p>
      <w:pPr>
        <w:spacing w:after="100" w:line="276"/>
      </w:pPr>
      <w:r>
        <w:rPr>
          <w:rFonts w:ascii="Calibri" w:cs="Calibri" w:eastAsia="Calibri" w:hAnsi="Calibri"/>
          <w:sz w:val="22"/>
          <w:szCs w:val="22"/>
        </w:rPr>
        <w:t xml:space="preserve">Figure 1 — Menu engineering matrix: Stars / Plowhorses / Puzzles / Dogs (Section 5.1)</w:t>
      </w:r>
    </w:p>
    <w:p>
      <w:pPr>
        <w:spacing w:after="300" w:line="276"/>
      </w:pPr>
      <w:r>
        <w:rPr>
          <w:rFonts w:ascii="Calibri" w:cs="Calibri" w:eastAsia="Calibri" w:hAnsi="Calibri"/>
          <w:sz w:val="22"/>
          <w:szCs w:val="22"/>
        </w:rPr>
        <w:t xml:space="preserve">Figure 2 — Implementation timeline, 12 weeks (Section 5.5)</w:t>
      </w:r>
    </w:p>
    <w:p>
      <w:r>
        <w:br w:type="page"/>
      </w:r>
    </w:p>
    <w:p>
      <w:pPr>
        <w:pStyle w:val="Heading1"/>
        <w:spacing w:after="200" w:before="360"/>
      </w:pPr>
      <w:r>
        <w:rPr>
          <w:rFonts w:ascii="Cambria" w:cs="Cambria" w:eastAsia="Cambria" w:hAnsi="Cambria"/>
          <w:b/>
          <w:bCs/>
          <w:sz w:val="28"/>
          <w:szCs w:val="28"/>
        </w:rPr>
        <w:t xml:space="preserve">1. Introduction</w:t>
      </w:r>
    </w:p>
    <w:p>
      <w:pPr>
        <w:spacing w:after="160" w:line="276"/>
      </w:pPr>
      <w:r>
        <w:rPr>
          <w:rFonts w:ascii="Calibri" w:cs="Calibri" w:eastAsia="Calibri" w:hAnsi="Calibri"/>
          <w:sz w:val="22"/>
          <w:szCs w:val="22"/>
        </w:rPr>
        <w:t xml:space="preserve">Rules, established in 1798 on Maiden Lane in Covent Garden, is widely credited as London's oldest restaurant and trades on own-estate game sourcing from the High Pennines, formal Georgian dining-room service, and a menu of pies, oysters and seasonal game (Rules Restaurant, n.d.). This report argues that Rules occupies an unusual position relative to prevailing gastronomy trends: on provenance and traceability it is arguably ahead of the wider London formal-dining sector, yet on plant-based inclusivity and perceived service accessibility it lags contemporary diner expectations. The purpose of this report is to evaluate Rules' menu and business model against current gastronomy trends, and to propose a redesigned menu and operational decisions that extend, rather than dilute, its established brand identity.</w:t>
      </w:r>
    </w:p>
    <w:p>
      <w:pPr>
        <w:spacing w:after="160" w:line="276"/>
      </w:pPr>
      <w:r>
        <w:rPr>
          <w:rFonts w:ascii="Calibri" w:cs="Calibri" w:eastAsia="Calibri" w:hAnsi="Calibri"/>
          <w:sz w:val="22"/>
          <w:szCs w:val="22"/>
        </w:rPr>
        <w:t xml:space="preserve">Justifying the timeliness of this analysis, Veganuary's (2025) End of Campaign Report recorded continued growth in UK sign-ups and mainstream plant-based trial, while Mintel's (2025) analysis of the UK meat-substitutes market points to a maturing but still-growing flexitarian consumer base — a segment almost entirely unaddressed by Rules' present à la carte structure, which offers no vegan dish on its main menu.</w:t>
      </w:r>
    </w:p>
    <w:p>
      <w:pPr>
        <w:spacing w:after="160" w:line="276"/>
      </w:pPr>
      <w:r>
        <w:rPr>
          <w:rFonts w:ascii="Calibri" w:cs="Calibri" w:eastAsia="Calibri" w:hAnsi="Calibri"/>
          <w:sz w:val="22"/>
          <w:szCs w:val="22"/>
        </w:rPr>
        <w:t xml:space="preserve">Section 2 analyses Rules as a food service business against a named competitor. Section 3 evaluates three gastronomy trends and assigns a differentiated verdict against each, rather than a uniform one. Section 4 proposes a redesigned menu. Section 5 evaluates that proposal on menu-engineering, financial, compliance and sustainability grounds, closing with a self-critique, before Section 6 concludes. Methodologically, this report triangulates primary evidence (customer reviews, direct menu analysis) with industry data (CGA/NielsenIQ, Mintel, Food Made Good) and peer-reviewed hospitality literature, while treating Rules' existing strengths and weaknesses as distinct rather than assuming uniform underperformance.</w:t>
      </w:r>
    </w:p>
    <w:p>
      <w:pPr>
        <w:pStyle w:val="Heading1"/>
        <w:spacing w:after="200" w:before="360"/>
      </w:pPr>
      <w:r>
        <w:rPr>
          <w:rFonts w:ascii="Cambria" w:cs="Cambria" w:eastAsia="Cambria" w:hAnsi="Cambria"/>
          <w:b/>
          <w:bCs/>
          <w:sz w:val="28"/>
          <w:szCs w:val="28"/>
        </w:rPr>
        <w:t xml:space="preserve">2. Food Services Business Analysis</w:t>
      </w:r>
    </w:p>
    <w:p>
      <w:pPr>
        <w:pStyle w:val="Heading2"/>
        <w:spacing w:after="140" w:before="260"/>
      </w:pPr>
      <w:r>
        <w:rPr>
          <w:rFonts w:ascii="Cambria" w:cs="Cambria" w:eastAsia="Cambria" w:hAnsi="Cambria"/>
          <w:b/>
          <w:bCs/>
          <w:sz w:val="24"/>
          <w:szCs w:val="24"/>
        </w:rPr>
        <w:t xml:space="preserve">2.1 Concept and market position</w:t>
      </w:r>
    </w:p>
    <w:p>
      <w:pPr>
        <w:spacing w:after="160" w:line="276"/>
      </w:pPr>
      <w:r>
        <w:rPr>
          <w:rFonts w:ascii="Calibri" w:cs="Calibri" w:eastAsia="Calibri" w:hAnsi="Calibri"/>
          <w:sz w:val="22"/>
          <w:szCs w:val="22"/>
        </w:rPr>
        <w:t xml:space="preserve">Rules operates within the formal heritage British dining segment in Covent Garden, a location that delivers a dual footfall of pre-theatre diners seeking a time-pressured experience and post-theatre or leisure diners seeking a longer, occasion-led meal. The restaurant's identity rests on three pillars: its status as London's oldest restaurant, a specialism in game and pies rooted in British culinary tradition, and — most distinctively — direct ownership of a game estate in the High Pennines from which venison, grouse, partridge and other wild game are sourced. This vertical integration of the supply chain into the ownership structure of the business itself is a competitive asset that very few competitors in London's formal-dining segment can credibly claim: most restaurants marketing "provenance" are relaying a supplier relationship, whereas Rules is relaying direct ownership of the means of production.</w:t>
      </w:r>
    </w:p>
    <w:p>
      <w:pPr>
        <w:spacing w:after="160" w:line="276"/>
      </w:pPr>
      <w:r>
        <w:rPr>
          <w:rFonts w:ascii="Calibri" w:cs="Calibri" w:eastAsia="Calibri" w:hAnsi="Calibri"/>
          <w:sz w:val="22"/>
          <w:szCs w:val="22"/>
        </w:rPr>
        <w:t xml:space="preserve">This dual footfall matters operationally: pre-theatre diners book a fixed, roughly two-hour window before curtain-up and are time- and price-sensitive, while leisure diners have more flexible timing and higher average spend. Treating both segments identically risks under-serving the former and over-formalising the latter; the "Rules at Lunch" format proposed in Section 4.4 targets the pre-theatre segment specifically, while the full à la carte evening service continues to serve the leisure occasion unchanged.</w:t>
      </w:r>
    </w:p>
    <w:p>
      <w:pPr>
        <w:pStyle w:val="Heading2"/>
        <w:spacing w:after="140" w:before="260"/>
      </w:pPr>
      <w:r>
        <w:rPr>
          <w:rFonts w:ascii="Cambria" w:cs="Cambria" w:eastAsia="Cambria" w:hAnsi="Cambria"/>
          <w:b/>
          <w:bCs/>
          <w:sz w:val="24"/>
          <w:szCs w:val="24"/>
        </w:rPr>
        <w:t xml:space="preserve">2.2 Menu structure and pricing</w:t>
      </w:r>
    </w:p>
    <w:p>
      <w:pPr>
        <w:spacing w:after="160" w:line="276"/>
      </w:pPr>
      <w:r>
        <w:rPr>
          <w:rFonts w:ascii="Calibri" w:cs="Calibri" w:eastAsia="Calibri" w:hAnsi="Calibri"/>
          <w:sz w:val="22"/>
          <w:szCs w:val="22"/>
        </w:rPr>
        <w:t xml:space="preserve">The current menu follows a familiar heritage-British sequence: starters built around oysters and potted meats or fish; a game-led main-course section (venison, grouse, partridge or wood pigeon depending on season) alongside the signature steak-and-kidney and game pies; and a puddings section of traditional British desserts. A separate, short vegetarian menu exists alongside the main card as an adjunct rather than an integrated part of the core offer, and no vegan main course currently appears on the standard menu. Main courses are priced at roughly £21.95–£25 (indicative; to be verified against the live menu at rules.co.uk, per the reference note at item 36), with premium game priced above this band — positioning Rules within the mid-to-upper tier of formal London dining, below ultra-premium tasting-menu competitors but above casual and gastropub competitors, consistent with its Covent Garden tourist/theatre-district footfall.</w:t>
      </w:r>
    </w:p>
    <w:p>
      <w:pPr>
        <w:pStyle w:val="Heading2"/>
        <w:spacing w:after="140" w:before="260"/>
      </w:pPr>
      <w:r>
        <w:rPr>
          <w:rFonts w:ascii="Cambria" w:cs="Cambria" w:eastAsia="Cambria" w:hAnsi="Cambria"/>
          <w:b/>
          <w:bCs/>
          <w:sz w:val="24"/>
          <w:szCs w:val="24"/>
        </w:rPr>
        <w:t xml:space="preserve">2.3 Competitive benchmark: Rules vs. St. JOHN</w:t>
      </w:r>
    </w:p>
    <w:p>
      <w:pPr>
        <w:spacing w:after="160" w:line="276"/>
      </w:pPr>
      <w:r>
        <w:rPr>
          <w:rFonts w:ascii="Calibri" w:cs="Calibri" w:eastAsia="Calibri" w:hAnsi="Calibri"/>
          <w:sz w:val="22"/>
          <w:szCs w:val="22"/>
        </w:rPr>
        <w:t xml:space="preserve">Table 1 benchmarks Rules against St. JOHN, chosen as a comparator because it shares Rules' commitment to provenance and whole-animal butchery, but has integrated plant-forward dishes and a more informal service register more successfully.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cantSplit/>
          <w:tblHeader/>
        </w:trPr>
        <w:tc>
          <w:tcPr>
            <w:tcW w:type="dxa" w:w="24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Dimension</w:t>
            </w:r>
          </w:p>
        </w:tc>
        <w:tc>
          <w:tcPr>
            <w:tcW w:type="dxa" w:w="36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Rules</w:t>
            </w:r>
          </w:p>
        </w:tc>
        <w:tc>
          <w:tcPr>
            <w:tcW w:type="dxa" w:w="36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St. JOHN</w:t>
            </w:r>
          </w:p>
        </w:tc>
      </w:tr>
      <w:tr>
        <w:trPr>
          <w:cantSplit/>
        </w:trPr>
        <w:tc>
          <w:tcPr>
            <w:tcW w:type="dxa" w:w="24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Concept</w:t>
            </w:r>
          </w:p>
        </w:tc>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Formal heritage British dining; game and pie specialism; Georgian dining rooms</w:t>
            </w:r>
          </w:p>
        </w:tc>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Nose-to-tail British dining; whole-animal butchery; converted Smithfield warehouse</w:t>
            </w:r>
          </w:p>
        </w:tc>
      </w:tr>
      <w:tr>
        <w:trPr>
          <w:cantSplit/>
        </w:trP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Price point (mains)</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£21.95–£25, premium game priced above this band</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£18–£28 — broadly comparable</w:t>
            </w:r>
          </w:p>
        </w:tc>
      </w:tr>
      <w:tr>
        <w:trPr>
          <w:cantSplit/>
        </w:trPr>
        <w:tc>
          <w:tcPr>
            <w:tcW w:type="dxa" w:w="24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Sourcing story</w:t>
            </w:r>
          </w:p>
        </w:tc>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Direct ownership of a game estate (High Pennines); full traceability for principal protein</w:t>
            </w:r>
          </w:p>
        </w:tc>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Trusted long-term supplier relationships; strong but not owned</w:t>
            </w:r>
          </w:p>
        </w:tc>
      </w:tr>
      <w:tr>
        <w:trPr>
          <w:cantSplit/>
        </w:trP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Dietary inclusivity</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Separate, short vegetarian menu; no vegan main course on the standard card</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Vegetarian dishes integrated into the main card; occasional vegan option</w:t>
            </w:r>
          </w:p>
        </w:tc>
      </w:tr>
      <w:tr>
        <w:trPr>
          <w:cantSplit/>
        </w:trPr>
        <w:tc>
          <w:tcPr>
            <w:tcW w:type="dxa" w:w="24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Service-culture perception</w:t>
            </w:r>
          </w:p>
        </w:tc>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Formal service register; a recurring minority of reviews describe the experience as "frosty" or a "tourist trap"</w:t>
            </w:r>
          </w:p>
        </w:tc>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Informal register (bare tables, chalkboard-style menu copy); read as unpretentious despite equally serious cuisine</w:t>
            </w:r>
          </w:p>
        </w:tc>
      </w:tr>
    </w:tbl>
    <w:p>
      <w:pPr>
        <w:spacing w:after="240" w:before="100"/>
      </w:pPr>
      <w:r>
        <w:rPr>
          <w:rFonts w:ascii="Calibri" w:cs="Calibri" w:eastAsia="Calibri" w:hAnsi="Calibri"/>
          <w:i/>
          <w:iCs/>
          <w:sz w:val="20"/>
          <w:szCs w:val="20"/>
        </w:rPr>
        <w:t xml:space="preserve">Table 1. Competitor benchmark: Rules vs. St. JOHN, on concept, price, sourcing story, dietary inclusivity and service-culture perception.</w:t>
      </w:r>
    </w:p>
    <w:p>
      <w:pPr>
        <w:spacing w:after="160" w:line="276"/>
      </w:pPr>
      <w:r>
        <w:rPr>
          <w:rFonts w:ascii="Calibri" w:cs="Calibri" w:eastAsia="Calibri" w:hAnsi="Calibri"/>
          <w:sz w:val="22"/>
          <w:szCs w:val="22"/>
        </w:rPr>
        <w:t xml:space="preserve">The comparison shows that Rules' gap relative to a like-for-like provenance-driven competitor is not a sourcing gap — Rules' traceability is, if anything, more direct — but a service-culture and dietary-inclusivity gap. St. JOHN's informal register is frequently read by diners as low-friction and unpretentious despite an equally serious culinary philosophy, whereas Rules' Georgian dining rooms and formal service are more frequently read, rightly or wrongly, as intimidating or exclusionary, particularly among younger or first-time diners. This pattern recurs in a minority of TripAdvisor reviews of Rules, which describe service as "frosty" or the overall experience as a "tourist trap" (TripAdvisor, n.d.), a theme returned to in Section 3.3.</w:t>
      </w:r>
    </w:p>
    <w:p>
      <w:pPr>
        <w:spacing w:after="160" w:line="276"/>
      </w:pPr>
      <w:r>
        <w:rPr>
          <w:rFonts w:ascii="Calibri" w:cs="Calibri" w:eastAsia="Calibri" w:hAnsi="Calibri"/>
          <w:sz w:val="22"/>
          <w:szCs w:val="22"/>
        </w:rPr>
        <w:t xml:space="preserve">The price-point row in Table 1 is close enough between the two venues that price itself is not the explanatory variable for any perceived gap: NielsenIQ/CGA's (2025) Hospitality Market Monitor places both within a broadly comparable per-head spend band for formal London dining. This confirms the differentiator is experiential and cultural rather than financial — why Section 4 proposes a service-format change alongside, not instead of, menu changes.</w:t>
      </w:r>
    </w:p>
    <w:p>
      <w:pPr>
        <w:pStyle w:val="Heading2"/>
        <w:spacing w:after="140" w:before="260"/>
      </w:pPr>
      <w:r>
        <w:rPr>
          <w:rFonts w:ascii="Cambria" w:cs="Cambria" w:eastAsia="Cambria" w:hAnsi="Cambria"/>
          <w:b/>
          <w:bCs/>
          <w:sz w:val="24"/>
          <w:szCs w:val="24"/>
        </w:rPr>
        <w:t xml:space="preserve">2.4 Brand identity analysis</w:t>
      </w:r>
    </w:p>
    <w:p>
      <w:pPr>
        <w:spacing w:after="160" w:line="276"/>
      </w:pPr>
      <w:r>
        <w:rPr>
          <w:rFonts w:ascii="Calibri" w:cs="Calibri" w:eastAsia="Calibri" w:hAnsi="Calibri"/>
          <w:sz w:val="22"/>
          <w:szCs w:val="22"/>
        </w:rPr>
        <w:t xml:space="preserve">Kapferer's (2008) Brand Identity Prism offers a structured way to separate where Rules' identity is coherent from where it is under strain. On the "physique" facet (the concrete, sensory signals of the brand) and the "culture" facet (the values system underpinning it), Rules is strong and internally consistent: the Georgian interior, the game specialism and the estate ownership all cohere around a single, legible story of continuity and provenance. The friction becomes visible on the "reflection" facet (the type of customer the brand is perceived to address) and the "relationship" facet (how the brand behaves towards the customer in the service encounter). Where physique and culture describe what Rules is, reflection and relationship describe how a contemporary diner, accustomed to more informal dining norms, believes Rules sees and treats them. It is this pair of facets, not the sourcing story, that is most exposed to the trends evaluated in Section 3, and a redesign that addresses only the menu without addressing service-culture perception treats only half of the diagnosis.</w:t>
      </w:r>
    </w:p>
    <w:p>
      <w:pPr>
        <w:spacing w:after="160" w:line="276"/>
      </w:pPr>
      <w:r>
        <w:rPr>
          <w:rFonts w:ascii="Calibri" w:cs="Calibri" w:eastAsia="Calibri" w:hAnsi="Calibri"/>
          <w:sz w:val="22"/>
          <w:szCs w:val="22"/>
        </w:rPr>
        <w:t xml:space="preserve">Applying the remaining two facets briefly: Rules' "personality" (the brand as if it were a person — traditional, authoritative, unhurried) and "self-image" (how the diner wants to see themselves when eating there — as someone with an appreciation for history and provenance) are also coherent with physique and culture, so four of the prism's six facets are internally aligned. The model does, however, have a known limitation when applied to a business with a genuinely dual audience: Kapferer's prism implicitly assumes a single, unified target consumer, whereas Rules simultaneously serves London-based repeat diners seeking authenticity and international tourists seeking a heritage experience, and these two audiences may read the same reflection and relationship signals quite differently. A prism analysis that treats Rules' customer base as homogeneous therefore risks overstating the service-culture problem for local diners while understating it for first-time visitors — a caveat carried into the self-critique in Section 5.6.</w:t>
      </w:r>
    </w:p>
    <w:p>
      <w:pPr>
        <w:pStyle w:val="Heading1"/>
        <w:spacing w:after="200" w:before="360"/>
      </w:pPr>
      <w:r>
        <w:rPr>
          <w:rFonts w:ascii="Cambria" w:cs="Cambria" w:eastAsia="Cambria" w:hAnsi="Cambria"/>
          <w:b/>
          <w:bCs/>
          <w:sz w:val="28"/>
          <w:szCs w:val="28"/>
        </w:rPr>
        <w:t xml:space="preserve">3. Gastronomy Trends</w:t>
      </w:r>
    </w:p>
    <w:p>
      <w:pPr>
        <w:pStyle w:val="Heading2"/>
        <w:spacing w:after="140" w:before="260"/>
      </w:pPr>
      <w:r>
        <w:rPr>
          <w:rFonts w:ascii="Cambria" w:cs="Cambria" w:eastAsia="Cambria" w:hAnsi="Cambria"/>
          <w:b/>
          <w:bCs/>
          <w:sz w:val="24"/>
          <w:szCs w:val="24"/>
        </w:rPr>
        <w:t xml:space="preserve">3.1 Trend one: provenance and traceability (Rules: ahead)</w:t>
      </w:r>
    </w:p>
    <w:p>
      <w:pPr>
        <w:spacing w:after="160" w:line="276"/>
      </w:pPr>
      <w:r>
        <w:rPr>
          <w:rFonts w:ascii="Calibri" w:cs="Calibri" w:eastAsia="Calibri" w:hAnsi="Calibri"/>
          <w:sz w:val="22"/>
          <w:szCs w:val="22"/>
        </w:rPr>
        <w:t xml:space="preserve">Traceability and farm-to-fork sourcing have moved from a differentiator to an expected baseline across UK hospitality, driven by both consumer demand and formal assessment frameworks such as Food Made Good's (2024, 2025) sourcing criteria and WRAP's guidance on supply-chain transparency. Measured against these criteria, Rules already performs strongly: its High Pennines estate gives it full traceability and low food-miles for its principal protein category, a standard that most competitors claiming "provenance" cannot match because they are relaying, rather than owning, a supplier relationship. The strategic finding here is not that Rules needs to change its sourcing, but that it is under-marketing an asset it already possesses: the estate is mentioned in passing on the website and not at all on the printed menu (addressed in Section 4.2).</w:t>
      </w:r>
    </w:p>
    <w:p>
      <w:pPr>
        <w:spacing w:after="160" w:line="276"/>
      </w:pPr>
      <w:r>
        <w:rPr>
          <w:rFonts w:ascii="Calibri" w:cs="Calibri" w:eastAsia="Calibri" w:hAnsi="Calibri"/>
          <w:sz w:val="22"/>
          <w:szCs w:val="22"/>
        </w:rPr>
        <w:t xml:space="preserve">To put this in concrete terms, game travelling from the High Pennines estate to the Covent Garden kitchen passes through a single, fully documented chain of custody, compared with a typical wholesale meat or game supply chain in formal London dining, which may pass through a stalker, a game dealer, a wholesaler and a distributor before reaching the kitchen. WRAP's supply-chain transparency guidance treats exactly this kind of chain-shortening as a primary lever for both traceability and waste reduction, which strengthens the case that Rules is already delivering against the trend's underlying objective even though it does not yet present this fact as a deliberate trend response.</w:t>
      </w:r>
    </w:p>
    <w:p>
      <w:pPr>
        <w:pStyle w:val="Heading2"/>
        <w:spacing w:after="140" w:before="260"/>
      </w:pPr>
      <w:r>
        <w:rPr>
          <w:rFonts w:ascii="Cambria" w:cs="Cambria" w:eastAsia="Cambria" w:hAnsi="Cambria"/>
          <w:b/>
          <w:bCs/>
          <w:sz w:val="24"/>
          <w:szCs w:val="24"/>
        </w:rPr>
        <w:t xml:space="preserve">3.2 Trend two: plant-based and flexitarian demand (Rules: behind)</w:t>
      </w:r>
    </w:p>
    <w:p>
      <w:pPr>
        <w:spacing w:after="160" w:line="276"/>
      </w:pPr>
      <w:r>
        <w:rPr>
          <w:rFonts w:ascii="Calibri" w:cs="Calibri" w:eastAsia="Calibri" w:hAnsi="Calibri"/>
          <w:sz w:val="22"/>
          <w:szCs w:val="22"/>
        </w:rPr>
        <w:t xml:space="preserve">The second trend points the opposite way. Veganuary's (2025) End of Campaign Report recorded continued year-on-year growth in UK participation, and NielsenIQ/CGA's Hospitality Health Check (2026) and Hospitality Market Monitor (2025) data show sustained growth in vegan and plant-based order volumes across UK eating-out occasions. Mintel's (2025) UK Meat Substitutes Market Dynamics report describes a maturing but still-expanding flexitarian segment rather than a niche one. Against this trend, a heritage game-and-pie specialist with no vegan main course is not merely conservative but is measurably leaving covers on the table, particularly among mixed dining parties — where a single flexitarian or vegan diner can determine the venue choice for an entire group — which make up a meaningful share of pre-theatre bookings.</w:t>
      </w:r>
    </w:p>
    <w:p>
      <w:pPr>
        <w:spacing w:after="160" w:line="276"/>
      </w:pPr>
      <w:r>
        <w:rPr>
          <w:rFonts w:ascii="Calibri" w:cs="Calibri" w:eastAsia="Calibri" w:hAnsi="Calibri"/>
          <w:sz w:val="22"/>
          <w:szCs w:val="22"/>
        </w:rPr>
        <w:t xml:space="preserve">The commercial risk of inaction is not confined to lost vegan covers in isolation. Restaurant-choice literature on group dining decisions consistently finds that a venue with no credible plant-based main course is more likely to be eliminated at the group-decision stage even by diners who would themselves order meat, because mixed groups tend to optimise for the most constrained member's options rather than the majority preference. For a business whose Covent Garden location depends heavily on group and pre-theatre bookings, this elimination effect is arguably a larger commercial exposure than the direct vegan-covers figure alone would suggest, and it is this elimination-stage risk, rather than a simple headcount of vegan diners, that most directly justifies Section 4.3's proposed additions.</w:t>
      </w:r>
    </w:p>
    <w:p>
      <w:pPr>
        <w:pStyle w:val="Heading2"/>
        <w:spacing w:after="140" w:before="260"/>
      </w:pPr>
      <w:r>
        <w:rPr>
          <w:rFonts w:ascii="Cambria" w:cs="Cambria" w:eastAsia="Cambria" w:hAnsi="Cambria"/>
          <w:b/>
          <w:bCs/>
          <w:sz w:val="24"/>
          <w:szCs w:val="24"/>
        </w:rPr>
        <w:t xml:space="preserve">3.3 Trend three: service-culture modernisation and dining accessibility (Rules: behind)</w:t>
      </w:r>
    </w:p>
    <w:p>
      <w:pPr>
        <w:spacing w:after="160" w:line="276"/>
      </w:pPr>
      <w:r>
        <w:rPr>
          <w:rFonts w:ascii="Calibri" w:cs="Calibri" w:eastAsia="Calibri" w:hAnsi="Calibri"/>
          <w:sz w:val="22"/>
          <w:szCs w:val="22"/>
        </w:rPr>
        <w:t xml:space="preserve">The third trend is less a menu trend than a customer-experience trend, but it is material because perceived accessibility shapes whether a diner ever reaches the menu at all. A recurring minority pattern across TripAdvisor reviews of Rules and commentary in The Good Food Guide describes the service register as "frosty," the pricing as poor value for tourists, or the overall experience as a "tourist trap" — language that signals a perceived barrier to entry rather than a judgement on food quality. Ajzen's (1991) Theory of Planned Behaviour, and its extensions in the restaurant-choice literature, frames this usefully: a diner's intention to visit is shaped not only by attitude toward the food but by subjective norms (will people like me be comfortable here?) and perceived behavioural control (can I navigate this menu and this room without feeling exposed?). A frosty-service perception operates directly on perceived behavioural control, independent of food quality, and is therefore a genuine barrier-to-entry problem that a menu redesign alone cannot fix; it requires a complementary service-format change (Section 4.4).</w:t>
      </w:r>
    </w:p>
    <w:p>
      <w:pPr>
        <w:spacing w:after="160" w:line="276"/>
      </w:pPr>
      <w:r>
        <w:rPr>
          <w:rFonts w:ascii="Calibri" w:cs="Calibri" w:eastAsia="Calibri" w:hAnsi="Calibri"/>
          <w:sz w:val="22"/>
          <w:szCs w:val="22"/>
        </w:rPr>
        <w:t xml:space="preserve">This trend also interacts with the brand-identity analysis in Section 2.4: a frosty-service perception erodes precisely the "relationship" and "reflection" facets identified there as under strain, while leaving "physique" and "culture" untouched. This is further evidence that the three trends in this section are not interchangeable symptoms of one undifferentiated heritage problem, but distinct issues, rooted in different facets of the same brand, that require distinct responses rather than a single blanket modernisation.</w:t>
      </w:r>
    </w:p>
    <w:p>
      <w:pPr>
        <w:pStyle w:val="Heading2"/>
        <w:spacing w:after="140" w:before="260"/>
      </w:pPr>
      <w:r>
        <w:rPr>
          <w:rFonts w:ascii="Cambria" w:cs="Cambria" w:eastAsia="Cambria" w:hAnsi="Cambria"/>
          <w:b/>
          <w:bCs/>
          <w:sz w:val="24"/>
          <w:szCs w:val="24"/>
        </w:rPr>
        <w:t xml:space="preserve">3.4 Differentiated verdict</w:t>
      </w:r>
    </w:p>
    <w:p>
      <w:pPr>
        <w:spacing w:after="160" w:line="276"/>
      </w:pPr>
      <w:r>
        <w:rPr>
          <w:rFonts w:ascii="Calibri" w:cs="Calibri" w:eastAsia="Calibri" w:hAnsi="Calibri"/>
          <w:sz w:val="22"/>
          <w:szCs w:val="22"/>
        </w:rPr>
        <w:t xml:space="preserve">Table 2 summarises the three trends against the evidence base and assigns Rules a differentiated verdict, rather than treating "heritage" as a single undifferentiated weakness. The purpose of presenting the verdicts side by side is to make explicit that Rules' problem is not that it is behind the curve in general — on the trend most commonly associated with critiques of heritage dining as outdated, it is ahead — but that it has one specific, addressable gap in menu content and one specific, addressable gap in service format, each treated separately in the proposal that follows.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200"/>
        <w:gridCol w:w="1200"/>
      </w:tblGrid>
      <w:tr>
        <w:trPr>
          <w:cantSplit/>
          <w:tblHeader/>
        </w:trPr>
        <w:tc>
          <w:tcPr>
            <w:tcW w:type="dxa" w:w="26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Trend</w:t>
            </w:r>
          </w:p>
        </w:tc>
        <w:tc>
          <w:tcPr>
            <w:tcW w:type="dxa" w:w="36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Evidence</w:t>
            </w:r>
          </w:p>
        </w:tc>
        <w:tc>
          <w:tcPr>
            <w:tcW w:type="dxa" w:w="22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Source</w:t>
            </w:r>
          </w:p>
        </w:tc>
        <w:tc>
          <w:tcPr>
            <w:tcW w:type="dxa" w:w="12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Verdict</w:t>
            </w:r>
          </w:p>
        </w:tc>
      </w:tr>
      <w:tr>
        <w:trPr>
          <w:cantSplit/>
        </w:trPr>
        <w:tc>
          <w:tcPr>
            <w:tcW w:type="dxa" w:w="2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Provenance and traceability</w:t>
            </w:r>
          </w:p>
        </w:tc>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Estate ownership gives full traceability and low food-miles for the principal protein category</w:t>
            </w:r>
          </w:p>
        </w:tc>
        <w:tc>
          <w:tcPr>
            <w:tcW w:type="dxa" w:w="22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Food Made Good (2024, 2025); WRAP</w:t>
            </w:r>
          </w:p>
        </w:tc>
        <w:tc>
          <w:tcPr>
            <w:tcW w:type="dxa" w:w="1200"/>
            <w:shd w:fill="2E7D32"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AHEAD</w:t>
            </w:r>
          </w:p>
        </w:tc>
      </w:tr>
      <w:tr>
        <w:trPr>
          <w:cantSplit/>
        </w:trP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Plant-based / flexitarian demand</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Continued growth in vegan sign-ups and plant-based order volumes at UK eating-out occasions</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Veganuary (2025); Mintel (2025); NielsenIQ/CGA (2025, 2026)</w:t>
            </w:r>
          </w:p>
        </w:tc>
        <w:tc>
          <w:tcPr>
            <w:tcW w:type="dxa" w:w="120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BEHIND</w:t>
            </w:r>
          </w:p>
        </w:tc>
      </w:tr>
      <w:tr>
        <w:trPr>
          <w:cantSplit/>
        </w:trPr>
        <w:tc>
          <w:tcPr>
            <w:tcW w:type="dxa" w:w="2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Service-culture modernisation and accessibility</w:t>
            </w:r>
          </w:p>
        </w:tc>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Recurring "frosty" / "tourist trap" review language signalling perceived barriers to entry, independent of food quality</w:t>
            </w:r>
          </w:p>
        </w:tc>
        <w:tc>
          <w:tcPr>
            <w:tcW w:type="dxa" w:w="22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TripAdvisor; The Good Food Guide; Ajzen (1991) TPB framing</w:t>
            </w:r>
          </w:p>
        </w:tc>
        <w:tc>
          <w:tcPr>
            <w:tcW w:type="dxa" w:w="120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BEHIND</w:t>
            </w:r>
          </w:p>
        </w:tc>
      </w:tr>
    </w:tbl>
    <w:p>
      <w:pPr>
        <w:spacing w:after="240" w:before="100"/>
      </w:pPr>
      <w:r>
        <w:rPr>
          <w:rFonts w:ascii="Calibri" w:cs="Calibri" w:eastAsia="Calibri" w:hAnsi="Calibri"/>
          <w:i/>
          <w:iCs/>
          <w:sz w:val="20"/>
          <w:szCs w:val="20"/>
        </w:rPr>
        <w:t xml:space="preserve">Table 2. Gastronomy trends, evidence, source and differentiated verdict for Rules.</w:t>
      </w:r>
    </w:p>
    <w:p>
      <w:pPr>
        <w:spacing w:after="160" w:line="276"/>
      </w:pPr>
      <w:r>
        <w:rPr>
          <w:rFonts w:ascii="Calibri" w:cs="Calibri" w:eastAsia="Calibri" w:hAnsi="Calibri"/>
          <w:sz w:val="22"/>
          <w:szCs w:val="22"/>
        </w:rPr>
        <w:t xml:space="preserve">A limitation of the TPB framing used above should be acknowledged rather than glossed over: the theory models a rational, deliberative choice process, and is less well suited to explaining the loyalty of Rules' existing older or occasion-driven clientele, whose repeat attendance may be driven by habit and identity signalling rather than a fresh cost-benefit evaluation of accessibility on every visit. Any response to Trend 3 must therefore be judged not only on whether it lowers barriers for new diners, but on whether it risks unsettling the habitual behaviour of the clientele that a purely rational-choice model does not fully capture — a tension returned to directly in the self-critique in Section 5.6.</w:t>
      </w:r>
    </w:p>
    <w:p>
      <w:pPr>
        <w:pStyle w:val="Heading1"/>
        <w:spacing w:after="200" w:before="360"/>
      </w:pPr>
      <w:r>
        <w:rPr>
          <w:rFonts w:ascii="Cambria" w:cs="Cambria" w:eastAsia="Cambria" w:hAnsi="Cambria"/>
          <w:b/>
          <w:bCs/>
          <w:sz w:val="28"/>
          <w:szCs w:val="28"/>
        </w:rPr>
        <w:t xml:space="preserve">4. Proposed Menu</w:t>
      </w:r>
    </w:p>
    <w:p>
      <w:pPr>
        <w:pStyle w:val="Heading2"/>
        <w:spacing w:after="140" w:before="260"/>
      </w:pPr>
      <w:r>
        <w:rPr>
          <w:rFonts w:ascii="Cambria" w:cs="Cambria" w:eastAsia="Cambria" w:hAnsi="Cambria"/>
          <w:b/>
          <w:bCs/>
          <w:sz w:val="24"/>
          <w:szCs w:val="24"/>
        </w:rPr>
        <w:t xml:space="preserve">4.1 Design principles</w:t>
      </w:r>
    </w:p>
    <w:p>
      <w:pPr>
        <w:spacing w:after="160" w:line="276"/>
      </w:pPr>
      <w:r>
        <w:rPr>
          <w:rFonts w:ascii="Calibri" w:cs="Calibri" w:eastAsia="Calibri" w:hAnsi="Calibri"/>
          <w:sz w:val="22"/>
          <w:szCs w:val="22"/>
        </w:rPr>
        <w:t xml:space="preserve">The proposed menu is built on a single design constraint drawn directly from Section 3: every change must be traceable to a specific, evidenced gap, and no change may dilute the "physique" and "culture" facets identified in Section 2.4 as Rules' genuine strengths. This rules out a wholesale repositioning toward a generic modern-British or plant-led format, and instead directs three targeted interventions.</w:t>
      </w:r>
    </w:p>
    <w:p>
      <w:pPr>
        <w:pStyle w:val="Heading2"/>
        <w:spacing w:after="140" w:before="260"/>
      </w:pPr>
      <w:r>
        <w:rPr>
          <w:rFonts w:ascii="Cambria" w:cs="Cambria" w:eastAsia="Cambria" w:hAnsi="Cambria"/>
          <w:b/>
          <w:bCs/>
          <w:sz w:val="24"/>
          <w:szCs w:val="24"/>
        </w:rPr>
        <w:t xml:space="preserve">4.2 Intervention one: make existing provenance visible (near-zero cost)</w:t>
      </w:r>
    </w:p>
    <w:p>
      <w:pPr>
        <w:spacing w:after="160" w:line="276"/>
      </w:pPr>
      <w:r>
        <w:rPr>
          <w:rFonts w:ascii="Calibri" w:cs="Calibri" w:eastAsia="Calibri" w:hAnsi="Calibri"/>
          <w:sz w:val="22"/>
          <w:szCs w:val="22"/>
        </w:rPr>
        <w:t xml:space="preserve">The simplest and lowest-risk change addresses the finding in Section 3.1 that Rules already leads on provenance but does not market it at the point of sale. The proposal adds a one-line estate or sourcing note beneath each relevant dish on the printed menu, naming the animal, the estate, and where relevant the hanging period, converting a website-level fact into a menu-level narrative device. This is consistent with, rather than a departure from, the existing brand identity, and directly answers the Food Made Good-style sourcing criteria discussed in Section 3.1.</w:t>
      </w:r>
    </w:p>
    <w:p>
      <w:pPr>
        <w:spacing w:after="160" w:line="276"/>
      </w:pPr>
      <w:r>
        <w:rPr>
          <w:rFonts w:ascii="Calibri" w:cs="Calibri" w:eastAsia="Calibri" w:hAnsi="Calibri"/>
          <w:sz w:val="22"/>
          <w:szCs w:val="22"/>
        </w:rPr>
        <w:t xml:space="preserve">Beyond the printed page, the same estate narrative should be built into service itself: front-of-house staff briefed to mention the estate by name when presenting a game dish (for example, "this is our own grouse, from the Rules estate in the High Pennines") convert a passive menu note into an active, personalised moment of the kind reviewers most often single out in accounts of provenance-led dining elsewhere. This is a training and script change rather than a supply-chain change, and therefore carries negligible direct cost while reinforcing the "culture" facet identified in Section 2.4.</w:t>
      </w:r>
    </w:p>
    <w:p>
      <w:pPr>
        <w:pStyle w:val="Heading2"/>
        <w:spacing w:after="140" w:before="260"/>
      </w:pPr>
      <w:r>
        <w:rPr>
          <w:rFonts w:ascii="Cambria" w:cs="Cambria" w:eastAsia="Cambria" w:hAnsi="Cambria"/>
          <w:b/>
          <w:bCs/>
          <w:sz w:val="24"/>
          <w:szCs w:val="24"/>
        </w:rPr>
        <w:t xml:space="preserve">4.3 Intervention two: estate-and-market plant-forward dishes</w:t>
      </w:r>
    </w:p>
    <w:p>
      <w:pPr>
        <w:spacing w:after="160" w:line="276"/>
      </w:pPr>
      <w:r>
        <w:rPr>
          <w:rFonts w:ascii="Calibri" w:cs="Calibri" w:eastAsia="Calibri" w:hAnsi="Calibri"/>
          <w:sz w:val="22"/>
          <w:szCs w:val="22"/>
        </w:rPr>
        <w:t xml:space="preserve">Rather than introducing a bolted-on "vegan section" that would read as a defensive gesture disconnected from Rules' identity, the proposal introduces plant-forward main courses built from the estate's kitchen-garden produce and seasonal Covent Garden market ingredients, framed on the menu using the same provenance language as the game dishes. Indicative additions include a root-vegetable and wild-mushroom pie mirroring the pastry technique of the signature game pies, and a roast-beetroot dish finished with a rich vegetable reduction in place of a meat jus. Framing these as an extension of the estate's produce, not as a concession to a trend, is the mechanism by which this intervention answers Section 3.2 without contradicting the identity analysis in Section 2.4.</w:t>
      </w:r>
    </w:p>
    <w:p>
      <w:pPr>
        <w:spacing w:after="160" w:line="276"/>
      </w:pPr>
      <w:r>
        <w:rPr>
          <w:rFonts w:ascii="Calibri" w:cs="Calibri" w:eastAsia="Calibri" w:hAnsi="Calibri"/>
          <w:sz w:val="22"/>
          <w:szCs w:val="22"/>
        </w:rPr>
        <w:t xml:space="preserve">A third addition — a seasonal vegetable and pearl-barley dish using whatever the estate garden or Covent Garden market yields that week — is deliberately specified as a rotating rather than fixed item, both to manage the seasonal-supply risk flagged in Section 5.6 and to let the kitchen market it using the same market-led, seasonal language long associated with serious British cooking, rather than presenting it as a static concession to a trend. All three dishes are costed and evaluated in Section 5.2 before any commitment to permanent menu status.</w:t>
      </w:r>
    </w:p>
    <w:p>
      <w:pPr>
        <w:pStyle w:val="Heading2"/>
        <w:spacing w:after="140" w:before="260"/>
      </w:pPr>
      <w:r>
        <w:rPr>
          <w:rFonts w:ascii="Cambria" w:cs="Cambria" w:eastAsia="Cambria" w:hAnsi="Cambria"/>
          <w:b/>
          <w:bCs/>
          <w:sz w:val="24"/>
          <w:szCs w:val="24"/>
        </w:rPr>
        <w:t xml:space="preserve">4.4 Intervention three: a shorter, more approachable service format</w:t>
      </w:r>
    </w:p>
    <w:p>
      <w:pPr>
        <w:spacing w:after="160" w:line="276"/>
      </w:pPr>
      <w:r>
        <w:rPr>
          <w:rFonts w:ascii="Calibri" w:cs="Calibri" w:eastAsia="Calibri" w:hAnsi="Calibri"/>
          <w:sz w:val="22"/>
          <w:szCs w:val="22"/>
        </w:rPr>
        <w:t xml:space="preserve">To address the accessibility gap identified in Section 3.3, the proposal introduces a shorter, fixed-format "Rules at Lunch" menu offered during the pre-theatre and weekday lunch window: a reduced choice of two or three dishes per course, a clear price ceiling, and menu language stripped of unexplained heritage terminology. This does not replace the full à la carte experience, which remains the primary evening offer and preserves the formal register that repeat and occasion diners expect, but gives a lower-commitment, lower-perceived-risk entry point for first-time or price-sensitive diners, targeting the perceived-behavioural-control barrier identified through the TPB framing in Section 3.3.</w:t>
      </w:r>
    </w:p>
    <w:p>
      <w:pPr>
        <w:spacing w:after="160" w:line="276"/>
      </w:pPr>
      <w:r>
        <w:rPr>
          <w:rFonts w:ascii="Calibri" w:cs="Calibri" w:eastAsia="Calibri" w:hAnsi="Calibri"/>
          <w:sz w:val="22"/>
          <w:szCs w:val="22"/>
        </w:rPr>
        <w:t xml:space="preserve">The £28/£34 price ceiling for "Rules at Lunch" is set deliberately below the per-head spend band identified in Section 2.3 for full à la carte dining at comparable formal London venues, so that the format reads unambiguously as a lower-commitment option rather than a discounted version of the same experience — a distinction that matters for protecting the perceived value, and the margin, of the evening service.</w:t>
      </w:r>
    </w:p>
    <w:p>
      <w:pPr>
        <w:pStyle w:val="Heading2"/>
        <w:spacing w:after="140" w:before="260"/>
      </w:pPr>
      <w:r>
        <w:rPr>
          <w:rFonts w:ascii="Cambria" w:cs="Cambria" w:eastAsia="Cambria" w:hAnsi="Cambria"/>
          <w:b/>
          <w:bCs/>
          <w:sz w:val="24"/>
          <w:szCs w:val="24"/>
        </w:rPr>
        <w:t xml:space="preserve">4.5 Original versus proposed menu</w:t>
      </w:r>
    </w:p>
    <w:p>
      <w:pPr>
        <w:spacing w:after="160" w:line="276"/>
      </w:pPr>
      <w:r>
        <w:rPr>
          <w:rFonts w:ascii="Calibri" w:cs="Calibri" w:eastAsia="Calibri" w:hAnsi="Calibri"/>
          <w:sz w:val="22"/>
          <w:szCs w:val="22"/>
        </w:rPr>
        <w:t xml:space="preserve">Table 3 sets out the original and proposed menus side by side, with indicative pricing (to be verified against the live menu before final submission) and the rationale for each change mapped back to the trend or gap it addresses.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900"/>
        <w:gridCol w:w="1300"/>
        <w:gridCol w:w="1800"/>
      </w:tblGrid>
      <w:tr>
        <w:trPr>
          <w:cantSplit/>
          <w:tblHeader/>
        </w:trPr>
        <w:tc>
          <w:tcPr>
            <w:tcW w:type="dxa" w:w="16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Course</w:t>
            </w:r>
          </w:p>
        </w:tc>
        <w:tc>
          <w:tcPr>
            <w:tcW w:type="dxa" w:w="27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Original dish</w:t>
            </w:r>
          </w:p>
        </w:tc>
        <w:tc>
          <w:tcPr>
            <w:tcW w:type="dxa" w:w="29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Proposed dish / change</w:t>
            </w:r>
          </w:p>
        </w:tc>
        <w:tc>
          <w:tcPr>
            <w:tcW w:type="dxa" w:w="13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Price*</w:t>
            </w:r>
          </w:p>
        </w:tc>
        <w:tc>
          <w:tcPr>
            <w:tcW w:type="dxa" w:w="18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Rationale</w:t>
            </w:r>
          </w:p>
        </w:tc>
      </w:tr>
      <w:tr>
        <w:trPr>
          <w:cantSplit/>
        </w:trPr>
        <w:tc>
          <w:tcPr>
            <w:tcW w:type="dxa" w:w="1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Starters</w:t>
            </w:r>
          </w:p>
        </w:tc>
        <w:tc>
          <w:tcPr>
            <w:tcW w:type="dxa" w:w="27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Potted Rules game, toast</w:t>
            </w:r>
          </w:p>
        </w:tc>
        <w:tc>
          <w:tcPr>
            <w:tcW w:type="dxa" w:w="29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Unchanged, plus estate sourcing note ("High Pennines Estate, hung 7 days")</w:t>
            </w:r>
          </w:p>
        </w:tc>
        <w:tc>
          <w:tcPr>
            <w:tcW w:type="dxa" w:w="13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£12.50</w:t>
            </w:r>
          </w:p>
        </w:tc>
        <w:tc>
          <w:tcPr>
            <w:tcW w:type="dxa" w:w="18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Makes existing provenance visible (4.2)</w:t>
            </w:r>
          </w:p>
        </w:tc>
      </w:tr>
      <w:tr>
        <w:trPr>
          <w:cantSplit/>
        </w:trP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Mains — game</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Roast grouse, bread sauce</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Unchanged, plus estate sourcing note</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£34.00</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Makes existing provenance visible (4.2)</w:t>
            </w:r>
          </w:p>
        </w:tc>
      </w:tr>
      <w:tr>
        <w:trPr>
          <w:cantSplit/>
        </w:trPr>
        <w:tc>
          <w:tcPr>
            <w:tcW w:type="dxa" w:w="1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Mains — pie</w:t>
            </w:r>
          </w:p>
        </w:tc>
        <w:tc>
          <w:tcPr>
            <w:tcW w:type="dxa" w:w="27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Steak and kidney pie</w:t>
            </w:r>
          </w:p>
        </w:tc>
        <w:tc>
          <w:tcPr>
            <w:tcW w:type="dxa" w:w="29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Unchanged — retained as core identity dish (Star, Fig. 1)</w:t>
            </w:r>
          </w:p>
        </w:tc>
        <w:tc>
          <w:tcPr>
            <w:tcW w:type="dxa" w:w="13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£24.50</w:t>
            </w:r>
          </w:p>
        </w:tc>
        <w:tc>
          <w:tcPr>
            <w:tcW w:type="dxa" w:w="18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Protects existing brand equity</w:t>
            </w:r>
          </w:p>
        </w:tc>
      </w:tr>
      <w:tr>
        <w:trPr>
          <w:cantSplit/>
        </w:trP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Mains — new</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Root vegetable and wild mushroom pie (estate kitchen garden)</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£22.00</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Plant-forward main, mirrors existing pastry technique (4.3)</w:t>
            </w:r>
          </w:p>
        </w:tc>
      </w:tr>
      <w:tr>
        <w:trPr>
          <w:cantSplit/>
        </w:trPr>
        <w:tc>
          <w:tcPr>
            <w:tcW w:type="dxa" w:w="1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Mains — new</w:t>
            </w:r>
          </w:p>
        </w:tc>
        <w:tc>
          <w:tcPr>
            <w:tcW w:type="dxa" w:w="27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w:t>
            </w:r>
          </w:p>
        </w:tc>
        <w:tc>
          <w:tcPr>
            <w:tcW w:type="dxa" w:w="29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Roast beetroot, estate herbs, rich vegetable jus</w:t>
            </w:r>
          </w:p>
        </w:tc>
        <w:tc>
          <w:tcPr>
            <w:tcW w:type="dxa" w:w="13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£21.50</w:t>
            </w:r>
          </w:p>
        </w:tc>
        <w:tc>
          <w:tcPr>
            <w:tcW w:type="dxa" w:w="18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Plant-forward main, extends estate produce story (4.3)</w:t>
            </w:r>
          </w:p>
        </w:tc>
      </w:tr>
      <w:tr>
        <w:trPr>
          <w:cantSplit/>
        </w:trP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Format</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À la carte only, full menu at all sittings</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Add "Rules at Lunch": 3-choice fixed format, pre-theatre and weekday lunch</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£28 (2 courses) / £34 (3 courses)</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Addresses accessibility barrier (4.4)</w:t>
            </w:r>
          </w:p>
        </w:tc>
      </w:tr>
    </w:tbl>
    <w:p>
      <w:pPr>
        <w:spacing w:after="240" w:before="100"/>
      </w:pPr>
      <w:r>
        <w:rPr>
          <w:rFonts w:ascii="Calibri" w:cs="Calibri" w:eastAsia="Calibri" w:hAnsi="Calibri"/>
          <w:i/>
          <w:iCs/>
          <w:sz w:val="20"/>
          <w:szCs w:val="20"/>
        </w:rPr>
        <w:t xml:space="preserve">Table 3. Original vs proposed menu, dish-by-dish, with indicative pricing and rationale. *Prices are indicative, based on typically reported ranges, and should be verified against the current live menu at rules.co.uk before final submission.</w:t>
      </w:r>
    </w:p>
    <w:p>
      <w:pPr>
        <w:spacing w:after="160" w:line="276"/>
      </w:pPr>
      <w:r>
        <w:rPr>
          <w:rFonts w:ascii="Calibri" w:cs="Calibri" w:eastAsia="Calibri" w:hAnsi="Calibri"/>
          <w:sz w:val="22"/>
          <w:szCs w:val="22"/>
        </w:rPr>
        <w:t xml:space="preserve">Read across the table, the pattern is deliberate. The two most heritage-coded dishes, grouse and steak-and-kidney pie, are untouched in substance and gain only a sourcing note; the new dishes are additions rather than replacements, so no existing customer loses a favourite; and the format change operates alongside, not instead of, the existing service model. Each row is therefore traceable to exactly one of the three verdicts in Table 2, which was the standard this report set for itself in Section 4.1, and no row attempts to address more than one gap at once.</w:t>
      </w:r>
    </w:p>
    <w:p>
      <w:pPr>
        <w:pStyle w:val="Heading1"/>
        <w:spacing w:after="200" w:before="360"/>
      </w:pPr>
      <w:r>
        <w:rPr>
          <w:rFonts w:ascii="Cambria" w:cs="Cambria" w:eastAsia="Cambria" w:hAnsi="Cambria"/>
          <w:b/>
          <w:bCs/>
          <w:sz w:val="28"/>
          <w:szCs w:val="28"/>
        </w:rPr>
        <w:t xml:space="preserve">5. Evaluation of Proposed Menu and Key Strategic Decisions</w:t>
      </w:r>
    </w:p>
    <w:p>
      <w:pPr>
        <w:pStyle w:val="Heading2"/>
        <w:spacing w:after="140" w:before="260"/>
      </w:pPr>
      <w:r>
        <w:rPr>
          <w:rFonts w:ascii="Cambria" w:cs="Cambria" w:eastAsia="Cambria" w:hAnsi="Cambria"/>
          <w:b/>
          <w:bCs/>
          <w:sz w:val="24"/>
          <w:szCs w:val="24"/>
        </w:rPr>
        <w:t xml:space="preserve">5.1 Menu engineering justification</w:t>
      </w:r>
    </w:p>
    <w:p>
      <w:pPr>
        <w:spacing w:after="160" w:line="276"/>
      </w:pPr>
      <w:r>
        <w:rPr>
          <w:rFonts w:ascii="Calibri" w:cs="Calibri" w:eastAsia="Calibri" w:hAnsi="Calibri"/>
          <w:sz w:val="22"/>
          <w:szCs w:val="22"/>
        </w:rPr>
        <w:t xml:space="preserve">Kasavana and Smith's (1982) menu engineering matrix classifies dishes by popularity and contribution margin into Stars (high popularity, high margin), Plowhorses (high popularity, low margin), Puzzles (low popularity, high margin) and Dogs (low popularity, low margin). Figure 1 applies this matrix to Rules' existing best-sellers and the proposed additions: the steak-and-kidney pie and roast pheasant are positioned as Stars on the basis of established volume and healthy margin on estate-sourced protein; the proposed root-vegetable and wild-mushroom pie is plotted as a provisional Puzzle, since it is expected to carry a high margin but its popularity is unproven until trialled; and existing under-ordered vegetarian dishes are flagged as candidates for removal as Dogs. The matrix is a genuinely useful trial-design tool, but it is not applied uncritically: Bujalance-López et al. (2025) note that classical menu engineering treats each dish's popularity as independent, when in practice a new dish can cannibalise an existing one through item substitution. A new plant-forward main is likely to draw covers away from Rules' existing vegetarian starters and game mains rather than adding only incremental covers, and the trial period in Figure 2 is designed specifically to observe this substitution effect before the new dishes are given permanent menu status.</w:t>
      </w:r>
    </w:p>
    <w:p>
      <w:pPr>
        <w:spacing w:after="160" w:line="276"/>
      </w:pPr>
      <w:r>
        <w:rPr>
          <w:rFonts w:ascii="Calibri" w:cs="Calibri" w:eastAsia="Calibri" w:hAnsi="Calibri"/>
          <w:sz w:val="22"/>
          <w:szCs w:val="22"/>
        </w:rPr>
        <w:t xml:space="preserve">It is also worth noting that Kasavana and Smith's (1982) model was developed for high-volume American commercial foodservice, where popularity data are abundant and dish substitution across a large, frequently changing menu is the norm. Rules' menu changes far less frequently and carries a small number of heritage dishes whose "popularity" is bound up with brand loyalty rather than pure preference — precisely the condition under which Bujalance-López et al.'s (2025) substitution critique bites hardest, and precisely why the matrix here is used to design a trial rather than to justify an immediate, permanent menu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750"/>
        <w:gridCol w:w="3750"/>
      </w:tblGrid>
      <w:tr>
        <w:trPr>
          <w:cantSplit/>
        </w:trPr>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
            </w:r>
          </w:p>
        </w:tc>
        <w:tc>
          <w:tcPr>
            <w:tcW w:type="dxa" w:w="3750"/>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High popularity</w:t>
            </w:r>
          </w:p>
        </w:tc>
        <w:tc>
          <w:tcPr>
            <w:tcW w:type="dxa" w:w="3750"/>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Low popularity</w:t>
            </w:r>
          </w:p>
        </w:tc>
      </w:tr>
      <w:tr>
        <w:trPr>
          <w:cantSplit/>
        </w:trPr>
        <w:tc>
          <w:tcPr>
            <w:tcW w:type="dxa" w:w="1500"/>
            <w:tcMar>
              <w:top w:type="dxa" w:w="60"/>
              <w:left w:type="dxa" w:w="100"/>
              <w:bottom w:type="dxa" w:w="60"/>
              <w:right w:type="dxa" w:w="100"/>
            </w:tcMar>
            <w:vAlign w:val="center"/>
          </w:tcPr>
          <w:p>
            <w:pPr>
              <w:jc w:val="left"/>
            </w:pPr>
            <w:r>
              <w:rPr>
                <w:rFonts w:ascii="Calibri" w:cs="Calibri" w:eastAsia="Calibri" w:hAnsi="Calibri"/>
                <w:b/>
                <w:bCs/>
                <w:sz w:val="19"/>
                <w:szCs w:val="19"/>
              </w:rPr>
              <w:t xml:space="preserve">High margin</w:t>
            </w:r>
          </w:p>
        </w:tc>
        <w:tc>
          <w:tcPr>
            <w:tcW w:type="dxa" w:w="3750"/>
            <w:shd w:fill="2E7D32" w:val="clear"/>
            <w:tcMar>
              <w:top w:type="dxa" w:w="160"/>
              <w:left w:type="dxa" w:w="160"/>
              <w:bottom w:type="dxa" w:w="160"/>
              <w:right w:type="dxa" w:w="160"/>
            </w:tcMar>
          </w:tcPr>
          <w:p>
            <w:pPr>
              <w:jc w:val="center"/>
            </w:pPr>
            <w:r>
              <w:rPr>
                <w:rFonts w:ascii="Calibri" w:cs="Calibri" w:eastAsia="Calibri" w:hAnsi="Calibri"/>
                <w:b/>
                <w:bCs/>
                <w:color w:val="FFFFFF"/>
                <w:sz w:val="21"/>
                <w:szCs w:val="21"/>
              </w:rPr>
              <w:t xml:space="preserve">STARS</w:t>
            </w:r>
          </w:p>
          <w:p>
            <w:pPr>
              <w:spacing w:before="80"/>
              <w:jc w:val="center"/>
            </w:pPr>
            <w:r>
              <w:rPr>
                <w:rFonts w:ascii="Calibri" w:cs="Calibri" w:eastAsia="Calibri" w:hAnsi="Calibri"/>
                <w:color w:val="FFFFFF"/>
                <w:sz w:val="19"/>
                <w:szCs w:val="19"/>
              </w:rPr>
              <w:t xml:space="preserve">• Steak and kidney pie</w:t>
            </w:r>
          </w:p>
          <w:p>
            <w:pPr>
              <w:spacing w:before="80"/>
              <w:jc w:val="center"/>
            </w:pPr>
            <w:r>
              <w:rPr>
                <w:rFonts w:ascii="Calibri" w:cs="Calibri" w:eastAsia="Calibri" w:hAnsi="Calibri"/>
                <w:color w:val="FFFFFF"/>
                <w:sz w:val="19"/>
                <w:szCs w:val="19"/>
              </w:rPr>
              <w:t xml:space="preserve">• Roast pheasant</w:t>
            </w:r>
          </w:p>
        </w:tc>
        <w:tc>
          <w:tcPr>
            <w:tcW w:type="dxa" w:w="3750"/>
            <w:shd w:fill="C77D00" w:val="clear"/>
            <w:tcMar>
              <w:top w:type="dxa" w:w="160"/>
              <w:left w:type="dxa" w:w="160"/>
              <w:bottom w:type="dxa" w:w="160"/>
              <w:right w:type="dxa" w:w="160"/>
            </w:tcMar>
          </w:tcPr>
          <w:p>
            <w:pPr>
              <w:jc w:val="center"/>
            </w:pPr>
            <w:r>
              <w:rPr>
                <w:rFonts w:ascii="Calibri" w:cs="Calibri" w:eastAsia="Calibri" w:hAnsi="Calibri"/>
                <w:b/>
                <w:bCs/>
                <w:color w:val="FFFFFF"/>
                <w:sz w:val="21"/>
                <w:szCs w:val="21"/>
              </w:rPr>
              <w:t xml:space="preserve">PUZZLES</w:t>
            </w:r>
          </w:p>
          <w:p>
            <w:pPr>
              <w:spacing w:before="80"/>
              <w:jc w:val="center"/>
            </w:pPr>
            <w:r>
              <w:rPr>
                <w:rFonts w:ascii="Calibri" w:cs="Calibri" w:eastAsia="Calibri" w:hAnsi="Calibri"/>
                <w:color w:val="FFFFFF"/>
                <w:sz w:val="19"/>
                <w:szCs w:val="19"/>
              </w:rPr>
              <w:t xml:space="preserve">• Root veg &amp; wild mushroom pie (proposed — trial)</w:t>
            </w:r>
          </w:p>
        </w:tc>
      </w:tr>
      <w:tr>
        <w:trPr>
          <w:cantSplit/>
        </w:trPr>
        <w:tc>
          <w:tcPr>
            <w:tcW w:type="dxa" w:w="1500"/>
            <w:tcMar>
              <w:top w:type="dxa" w:w="60"/>
              <w:left w:type="dxa" w:w="100"/>
              <w:bottom w:type="dxa" w:w="60"/>
              <w:right w:type="dxa" w:w="100"/>
            </w:tcMar>
            <w:vAlign w:val="center"/>
          </w:tcPr>
          <w:p>
            <w:pPr>
              <w:jc w:val="left"/>
            </w:pPr>
            <w:r>
              <w:rPr>
                <w:rFonts w:ascii="Calibri" w:cs="Calibri" w:eastAsia="Calibri" w:hAnsi="Calibri"/>
                <w:b/>
                <w:bCs/>
                <w:sz w:val="19"/>
                <w:szCs w:val="19"/>
              </w:rPr>
              <w:t xml:space="preserve">Low margin</w:t>
            </w:r>
          </w:p>
        </w:tc>
        <w:tc>
          <w:tcPr>
            <w:tcW w:type="dxa" w:w="3750"/>
            <w:shd w:fill="1565C0" w:val="clear"/>
            <w:tcMar>
              <w:top w:type="dxa" w:w="160"/>
              <w:left w:type="dxa" w:w="160"/>
              <w:bottom w:type="dxa" w:w="160"/>
              <w:right w:type="dxa" w:w="160"/>
            </w:tcMar>
          </w:tcPr>
          <w:p>
            <w:pPr>
              <w:jc w:val="center"/>
            </w:pPr>
            <w:r>
              <w:rPr>
                <w:rFonts w:ascii="Calibri" w:cs="Calibri" w:eastAsia="Calibri" w:hAnsi="Calibri"/>
                <w:b/>
                <w:bCs/>
                <w:color w:val="FFFFFF"/>
                <w:sz w:val="21"/>
                <w:szCs w:val="21"/>
              </w:rPr>
              <w:t xml:space="preserve">PLOWHORSES</w:t>
            </w:r>
          </w:p>
          <w:p>
            <w:pPr>
              <w:spacing w:before="80"/>
              <w:jc w:val="center"/>
            </w:pPr>
            <w:r>
              <w:rPr>
                <w:rFonts w:ascii="Calibri" w:cs="Calibri" w:eastAsia="Calibri" w:hAnsi="Calibri"/>
                <w:color w:val="FFFFFF"/>
                <w:sz w:val="19"/>
                <w:szCs w:val="19"/>
              </w:rPr>
              <w:t xml:space="preserve">• Oysters</w:t>
            </w:r>
          </w:p>
          <w:p>
            <w:pPr>
              <w:spacing w:before="80"/>
              <w:jc w:val="center"/>
            </w:pPr>
            <w:r>
              <w:rPr>
                <w:rFonts w:ascii="Calibri" w:cs="Calibri" w:eastAsia="Calibri" w:hAnsi="Calibri"/>
                <w:color w:val="FFFFFF"/>
                <w:sz w:val="19"/>
                <w:szCs w:val="19"/>
              </w:rPr>
              <w:t xml:space="preserve">• Potted game</w:t>
            </w:r>
          </w:p>
        </w:tc>
        <w:tc>
          <w:tcPr>
            <w:tcW w:type="dxa" w:w="3750"/>
            <w:shd w:fill="8C1D1D" w:val="clear"/>
            <w:tcMar>
              <w:top w:type="dxa" w:w="160"/>
              <w:left w:type="dxa" w:w="160"/>
              <w:bottom w:type="dxa" w:w="160"/>
              <w:right w:type="dxa" w:w="160"/>
            </w:tcMar>
          </w:tcPr>
          <w:p>
            <w:pPr>
              <w:jc w:val="center"/>
            </w:pPr>
            <w:r>
              <w:rPr>
                <w:rFonts w:ascii="Calibri" w:cs="Calibri" w:eastAsia="Calibri" w:hAnsi="Calibri"/>
                <w:b/>
                <w:bCs/>
                <w:color w:val="FFFFFF"/>
                <w:sz w:val="21"/>
                <w:szCs w:val="21"/>
              </w:rPr>
              <w:t xml:space="preserve">DOGS</w:t>
            </w:r>
          </w:p>
          <w:p>
            <w:pPr>
              <w:spacing w:before="80"/>
              <w:jc w:val="center"/>
            </w:pPr>
            <w:r>
              <w:rPr>
                <w:rFonts w:ascii="Calibri" w:cs="Calibri" w:eastAsia="Calibri" w:hAnsi="Calibri"/>
                <w:color w:val="FFFFFF"/>
                <w:sz w:val="19"/>
                <w:szCs w:val="19"/>
              </w:rPr>
              <w:t xml:space="preserve">• Under-ordered existing vegetarian dishes (candidates for removal)</w:t>
            </w:r>
          </w:p>
        </w:tc>
      </w:tr>
    </w:tbl>
    <w:p>
      <w:pPr>
        <w:spacing w:after="240" w:before="100"/>
      </w:pPr>
      <w:r>
        <w:rPr>
          <w:rFonts w:ascii="Calibri" w:cs="Calibri" w:eastAsia="Calibri" w:hAnsi="Calibri"/>
          <w:i/>
          <w:iCs/>
          <w:sz w:val="20"/>
          <w:szCs w:val="20"/>
        </w:rPr>
        <w:t xml:space="preserve">Figure 1. Menu engineering matrix (Kasavana and Smith, 1982) applied to Rules' existing and proposed dishes.</w:t>
      </w:r>
    </w:p>
    <w:p>
      <w:pPr>
        <w:pStyle w:val="Heading2"/>
        <w:spacing w:after="140" w:before="260"/>
      </w:pPr>
      <w:r>
        <w:rPr>
          <w:rFonts w:ascii="Cambria" w:cs="Cambria" w:eastAsia="Cambria" w:hAnsi="Cambria"/>
          <w:b/>
          <w:bCs/>
          <w:sz w:val="24"/>
          <w:szCs w:val="24"/>
        </w:rPr>
        <w:t xml:space="preserve">5.2 Financial and cost control</w:t>
      </w:r>
    </w:p>
    <w:p>
      <w:pPr>
        <w:spacing w:after="160" w:line="276"/>
      </w:pPr>
      <w:r>
        <w:rPr>
          <w:rFonts w:ascii="Calibri" w:cs="Calibri" w:eastAsia="Calibri" w:hAnsi="Calibri"/>
          <w:sz w:val="22"/>
          <w:szCs w:val="22"/>
        </w:rPr>
        <w:t xml:space="preserve">Table 4 estimates indicative gross-profit percentages for existing and proposed dishes. A common but unexamined assumption is that plant-based dishes are automatically cheaper to produce than meat dishes; this does not hold cleanly at Rules, because the comparison is not against commodity meat but against wild game that the business already owns outright, giving a near-zero marginal input cost once the estate's fixed costs are covered. Estate-grown vegetables, by contrast, carry genuine costs — labour-intensive kitchen-garden cultivation, seasonal yield variability, and the opportunity cost of land that could otherwise expand game habitat — which must be costed honestly rather than assumed away. The proposal should therefore not be justified financially on "vegetables are cheap" grounds; it should be justified on incremental-cover and average-spend grounds, attracting parties that would not otherwise book, with food cost held to a comparable or only marginally improved percentage against the existing game-led dishes.</w:t>
      </w:r>
    </w:p>
    <w:p>
      <w:pPr>
        <w:spacing w:after="160" w:line="276"/>
      </w:pPr>
      <w:r>
        <w:rPr>
          <w:rFonts w:ascii="Calibri" w:cs="Calibri" w:eastAsia="Calibri" w:hAnsi="Calibri"/>
          <w:sz w:val="22"/>
          <w:szCs w:val="22"/>
        </w:rPr>
        <w:t xml:space="preserve">These figures are illustrative estimates built from typical UK formal-dining food-cost benchmarks rather than Rules' actual kitchen accounts, and should be replaced with audited cost data before any investment decision is made; their purpose here is to demonstrate the correct basis for comparison — estate-owned protein against labour-intensive horticulture — rather than to assert precise percentages. On this basis, the two proposed dishes would need to sell at only a modest fraction of the volume of the existing Star dishes to cover their incremental kitchen-garden labour cost, which is the specific, numerically grounded question the trial in Figure 2 is designed to answer before a permanent price or portfolio decision is taken.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3300"/>
      </w:tblGrid>
      <w:tr>
        <w:trPr>
          <w:cantSplit/>
          <w:tblHeader/>
        </w:trPr>
        <w:tc>
          <w:tcPr>
            <w:tcW w:type="dxa" w:w="34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Dish</w:t>
            </w:r>
          </w:p>
        </w:tc>
        <w:tc>
          <w:tcPr>
            <w:tcW w:type="dxa" w:w="19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Est. food cost %</w:t>
            </w:r>
          </w:p>
        </w:tc>
        <w:tc>
          <w:tcPr>
            <w:tcW w:type="dxa" w:w="19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Est. GP %</w:t>
            </w:r>
          </w:p>
        </w:tc>
        <w:tc>
          <w:tcPr>
            <w:tcW w:type="dxa" w:w="33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Note</w:t>
            </w:r>
          </w:p>
        </w:tc>
      </w:tr>
      <w:tr>
        <w:trPr>
          <w:cantSplit/>
        </w:trPr>
        <w:tc>
          <w:tcPr>
            <w:tcW w:type="dxa" w:w="34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Steak and kidney pie</w:t>
            </w:r>
          </w:p>
        </w:tc>
        <w:tc>
          <w:tcPr>
            <w:tcW w:type="dxa" w:w="19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28%</w:t>
            </w:r>
          </w:p>
        </w:tc>
        <w:tc>
          <w:tcPr>
            <w:tcW w:type="dxa" w:w="19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72%</w:t>
            </w:r>
          </w:p>
        </w:tc>
        <w:tc>
          <w:tcPr>
            <w:tcW w:type="dxa" w:w="33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Estate beef/kidney supplemented by bought-in ingredients</w:t>
            </w:r>
          </w:p>
        </w:tc>
      </w:tr>
      <w:tr>
        <w:trPr>
          <w:cantSplit/>
        </w:trP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Roast grouse</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22%</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78%</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Near-zero marginal input cost — estate-owned protein</w:t>
            </w:r>
          </w:p>
        </w:tc>
      </w:tr>
      <w:tr>
        <w:trPr>
          <w:cantSplit/>
        </w:trPr>
        <w:tc>
          <w:tcPr>
            <w:tcW w:type="dxa" w:w="34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Root veg &amp; wild mushroom pie (proposed)</w:t>
            </w:r>
          </w:p>
        </w:tc>
        <w:tc>
          <w:tcPr>
            <w:tcW w:type="dxa" w:w="19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24%</w:t>
            </w:r>
          </w:p>
        </w:tc>
        <w:tc>
          <w:tcPr>
            <w:tcW w:type="dxa" w:w="19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76%</w:t>
            </w:r>
          </w:p>
        </w:tc>
        <w:tc>
          <w:tcPr>
            <w:tcW w:type="dxa" w:w="33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Low ingredient cost offset by kitchen-garden labour</w:t>
            </w:r>
          </w:p>
        </w:tc>
      </w:tr>
      <w:tr>
        <w:trPr>
          <w:cantSplit/>
        </w:trP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Beetroot &amp; estate herb main (proposed)</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26%</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74%</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Exposed to seasonal yield variability</w:t>
            </w:r>
          </w:p>
        </w:tc>
      </w:tr>
    </w:tbl>
    <w:p>
      <w:pPr>
        <w:spacing w:after="240" w:before="100"/>
      </w:pPr>
      <w:r>
        <w:rPr>
          <w:rFonts w:ascii="Calibri" w:cs="Calibri" w:eastAsia="Calibri" w:hAnsi="Calibri"/>
          <w:i/>
          <w:iCs/>
          <w:sz w:val="20"/>
          <w:szCs w:val="20"/>
        </w:rPr>
        <w:t xml:space="preserve">Table 4. Indicative food-cost and gross-profit comparison, existing and proposed dishes.</w:t>
      </w:r>
    </w:p>
    <w:p>
      <w:pPr>
        <w:pStyle w:val="Heading2"/>
        <w:spacing w:after="140" w:before="260"/>
      </w:pPr>
      <w:r>
        <w:rPr>
          <w:rFonts w:ascii="Cambria" w:cs="Cambria" w:eastAsia="Cambria" w:hAnsi="Cambria"/>
          <w:b/>
          <w:bCs/>
          <w:sz w:val="24"/>
          <w:szCs w:val="24"/>
        </w:rPr>
        <w:t xml:space="preserve">5.3 Compliance and food safety</w:t>
      </w:r>
    </w:p>
    <w:p>
      <w:pPr>
        <w:spacing w:after="160" w:line="276"/>
      </w:pPr>
      <w:r>
        <w:rPr>
          <w:rFonts w:ascii="Calibri" w:cs="Calibri" w:eastAsia="Calibri" w:hAnsi="Calibri"/>
          <w:sz w:val="22"/>
          <w:szCs w:val="22"/>
        </w:rPr>
        <w:t xml:space="preserve">Introducing new dishes into a kitchen whose primary risk profile is built around wild game handling raises compliance considerations distinct from a standard menu change. Under the Food Information (Amendment) (England) Regulations 2019 ("Natasha's Law"), full ingredient and allergen labelling is required and must be current for all new dishes at point of service; the plant-forward dishes' allergen profile (particularly nuts, gluten in pastry, and dairy-based enrichments) must be documented with the same rigour currently applied to game-derived allergens. HACCP control points specific to wild game — controlled hanging times, monitoring for embedded shot, and segregated storage and preparation surfaces — must be reviewed to ensure new plant-forward preparation does not introduce cross-contamination risk in either direction, whether game residue affecting a dish marketed as vegetarian or vegan, or the reverse affecting allergen claims. FSA Food Hygiene Rating Scheme status should be actively protected through the transition by documenting the HACCP review and staff briefing as part of the standard due-diligence file, rather than treated as a formality. Table 5 maps these requirements against both existing and proposed dishes.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cantSplit/>
          <w:tblHeader/>
        </w:trPr>
        <w:tc>
          <w:tcPr>
            <w:tcW w:type="dxa" w:w="32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Requirement</w:t>
            </w:r>
          </w:p>
        </w:tc>
        <w:tc>
          <w:tcPr>
            <w:tcW w:type="dxa" w:w="32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Existing dishes</w:t>
            </w:r>
          </w:p>
        </w:tc>
        <w:tc>
          <w:tcPr>
            <w:tcW w:type="dxa" w:w="31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New plant-forward dishes</w:t>
            </w:r>
          </w:p>
        </w:tc>
      </w:tr>
      <w:tr>
        <w:trPr>
          <w:cantSplit/>
        </w:trPr>
        <w:tc>
          <w:tcPr>
            <w:tcW w:type="dxa" w:w="32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Natasha's Law allergen labelling</w:t>
            </w:r>
          </w:p>
        </w:tc>
        <w:tc>
          <w:tcPr>
            <w:tcW w:type="dxa" w:w="32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Current and documented</w:t>
            </w:r>
          </w:p>
        </w:tc>
        <w:tc>
          <w:tcPr>
            <w:tcW w:type="dxa" w:w="31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Must be documented before launch (nuts, gluten in pastry, dairy enrichments)</w:t>
            </w:r>
          </w:p>
        </w:tc>
      </w:tr>
      <w:tr>
        <w:trPr>
          <w:cantSplit/>
        </w:trP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HACCP — game handling (hanging, shot removal)</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Established control points</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Not applicable, but shared kitchen must not compromise existing control points</w:t>
            </w:r>
          </w:p>
        </w:tc>
      </w:tr>
      <w:tr>
        <w:trPr>
          <w:cantSplit/>
        </w:trPr>
        <w:tc>
          <w:tcPr>
            <w:tcW w:type="dxa" w:w="32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Cross-contamination control</w:t>
            </w:r>
          </w:p>
        </w:tc>
        <w:tc>
          <w:tcPr>
            <w:tcW w:type="dxa" w:w="32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Segregated raw-game surfaces and storage</w:t>
            </w:r>
          </w:p>
        </w:tc>
        <w:tc>
          <w:tcPr>
            <w:tcW w:type="dxa" w:w="31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Requires segregated prep to protect vegetarian/vegan claims and existing allergen controls</w:t>
            </w:r>
          </w:p>
        </w:tc>
      </w:tr>
      <w:tr>
        <w:trPr>
          <w:cantSplit/>
        </w:trP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FHRS documentation</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Maintained</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HACCP review and staff briefing to be filed as due-diligence evidence during transition</w:t>
            </w:r>
          </w:p>
        </w:tc>
      </w:tr>
    </w:tbl>
    <w:p>
      <w:pPr>
        <w:spacing w:after="240" w:before="100"/>
      </w:pPr>
      <w:r>
        <w:rPr>
          <w:rFonts w:ascii="Calibri" w:cs="Calibri" w:eastAsia="Calibri" w:hAnsi="Calibri"/>
          <w:i/>
          <w:iCs/>
          <w:sz w:val="20"/>
          <w:szCs w:val="20"/>
        </w:rPr>
        <w:t xml:space="preserve">Table 5. Compliance checklist — Natasha's Law, HACCP and FHRS — mapped to existing and proposed dishes.</w:t>
      </w:r>
    </w:p>
    <w:p>
      <w:pPr>
        <w:pStyle w:val="Heading2"/>
        <w:spacing w:after="140" w:before="260"/>
      </w:pPr>
      <w:r>
        <w:rPr>
          <w:rFonts w:ascii="Cambria" w:cs="Cambria" w:eastAsia="Cambria" w:hAnsi="Cambria"/>
          <w:b/>
          <w:bCs/>
          <w:sz w:val="24"/>
          <w:szCs w:val="24"/>
        </w:rPr>
        <w:t xml:space="preserve">5.4 Sustainability and operational efficiency</w:t>
      </w:r>
    </w:p>
    <w:p>
      <w:pPr>
        <w:spacing w:after="160" w:line="276"/>
      </w:pPr>
      <w:r>
        <w:rPr>
          <w:rFonts w:ascii="Calibri" w:cs="Calibri" w:eastAsia="Calibri" w:hAnsi="Calibri"/>
          <w:sz w:val="22"/>
          <w:szCs w:val="22"/>
        </w:rPr>
        <w:t xml:space="preserve">Where Sections 5.1–5.3 identify genuine new work, this sub-section identifies work Rules has effectively already done. Whole-animal game butchery is inherently lower-waste than commodity meat purchasing, because the estate model requires using the whole animal across multiple menu items rather than ordering pre-portioned cuts — a practice directly aligned with WRAP's guidance on where hospitality food waste arises and with Food Made Good's (2024, 2025) sourcing and waste criteria. The strategic task here is formalisation and disclosure rather than operational change: documenting existing whole-animal utilisation rates, estate transport food-miles, and waste-diversion practices in a form that can be submitted to, and scored by, frameworks such as Food Made Good, converting an unrecognised operational strength into a marketable and auditable sustainability credential.</w:t>
      </w:r>
    </w:p>
    <w:p>
      <w:pPr>
        <w:pStyle w:val="Heading2"/>
        <w:spacing w:after="140" w:before="260"/>
      </w:pPr>
      <w:r>
        <w:rPr>
          <w:rFonts w:ascii="Cambria" w:cs="Cambria" w:eastAsia="Cambria" w:hAnsi="Cambria"/>
          <w:b/>
          <w:bCs/>
          <w:sz w:val="24"/>
          <w:szCs w:val="24"/>
        </w:rPr>
        <w:t xml:space="preserve">5.5 Implementation timeline</w:t>
      </w:r>
    </w:p>
    <w:p>
      <w:pPr>
        <w:spacing w:after="160" w:line="276"/>
      </w:pPr>
      <w:r>
        <w:rPr>
          <w:rFonts w:ascii="Calibri" w:cs="Calibri" w:eastAsia="Calibri" w:hAnsi="Calibri"/>
          <w:sz w:val="22"/>
          <w:szCs w:val="22"/>
        </w:rPr>
        <w:t xml:space="preserve">Figure 2 sets out an indicative twelve-week implementation timeline, longer than a standard supply change would require, in recognition of the seasonal produce lead times associated with kitchen-garden sourcing and the need to observe the substitution effect identified in Section 5.1 before committing to a permanent menu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80"/>
        <w:gridCol w:w="480"/>
        <w:gridCol w:w="480"/>
        <w:gridCol w:w="480"/>
        <w:gridCol w:w="480"/>
        <w:gridCol w:w="480"/>
        <w:gridCol w:w="480"/>
        <w:gridCol w:w="480"/>
        <w:gridCol w:w="480"/>
        <w:gridCol w:w="480"/>
        <w:gridCol w:w="480"/>
        <w:gridCol w:w="480"/>
      </w:tblGrid>
      <w:tr>
        <w:trPr>
          <w:cantSplit/>
          <w:tblHeader/>
        </w:trPr>
        <w:tc>
          <w:tcPr>
            <w:tcW w:type="dxa" w:w="3600"/>
            <w:shd w:fill="8C1D1D"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Phase</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W1</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W2</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W3</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W4</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W5</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W6</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W7</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W8</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W9</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W10</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W11</w:t>
            </w:r>
          </w:p>
        </w:tc>
        <w:tc>
          <w:tcPr>
            <w:tcW w:type="dxa" w:w="480"/>
            <w:shd w:fill="8C1D1D"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W12</w:t>
            </w:r>
          </w:p>
        </w:tc>
      </w:tr>
      <w:tr>
        <w:trPr>
          <w:cantSplit/>
        </w:trP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Menu trial (kitchen R&amp;D)</w:t>
            </w:r>
          </w:p>
        </w:tc>
        <w:tc>
          <w:tcPr>
            <w:tcW w:type="dxa" w:w="480"/>
            <w:shd w:fill="C77D00" w:val="clear"/>
          </w:tcPr>
          <w:p/>
        </w:tc>
        <w:tc>
          <w:tcPr>
            <w:tcW w:type="dxa" w:w="480"/>
            <w:shd w:fill="C77D00" w:val="clear"/>
          </w:tcPr>
          <w:p/>
        </w:tc>
        <w:tc>
          <w:tcPr>
            <w:tcW w:type="dxa" w:w="480"/>
            <w:shd w:fill="C77D00"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r>
      <w:tr>
        <w:trPr>
          <w:cantSplit/>
        </w:trPr>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Estate garden sourcing agreement</w:t>
            </w:r>
          </w:p>
        </w:tc>
        <w:tc>
          <w:tcPr>
            <w:tcW w:type="dxa" w:w="480"/>
            <w:shd w:fill="F2E7E7" w:val="clear"/>
          </w:tcPr>
          <w:p/>
        </w:tc>
        <w:tc>
          <w:tcPr>
            <w:tcW w:type="dxa" w:w="480"/>
            <w:shd w:fill="C77D00" w:val="clear"/>
          </w:tcPr>
          <w:p/>
        </w:tc>
        <w:tc>
          <w:tcPr>
            <w:tcW w:type="dxa" w:w="480"/>
            <w:shd w:fill="C77D00" w:val="clear"/>
          </w:tcPr>
          <w:p/>
        </w:tc>
        <w:tc>
          <w:tcPr>
            <w:tcW w:type="dxa" w:w="480"/>
            <w:shd w:fill="C77D00"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r>
      <w:tr>
        <w:trPr>
          <w:cantSplit/>
        </w:trP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Staff briefing &amp; compliance sign-off</w:t>
            </w:r>
          </w:p>
        </w:tc>
        <w:tc>
          <w:tcPr>
            <w:tcW w:type="dxa" w:w="480"/>
            <w:shd w:fill="FFFFFF" w:val="clear"/>
          </w:tcPr>
          <w:p/>
        </w:tc>
        <w:tc>
          <w:tcPr>
            <w:tcW w:type="dxa" w:w="480"/>
            <w:shd w:fill="FFFFFF" w:val="clear"/>
          </w:tcPr>
          <w:p/>
        </w:tc>
        <w:tc>
          <w:tcPr>
            <w:tcW w:type="dxa" w:w="480"/>
            <w:shd w:fill="FFFFFF" w:val="clear"/>
          </w:tcPr>
          <w:p/>
        </w:tc>
        <w:tc>
          <w:tcPr>
            <w:tcW w:type="dxa" w:w="480"/>
            <w:shd w:fill="C77D00" w:val="clear"/>
          </w:tcPr>
          <w:p/>
        </w:tc>
        <w:tc>
          <w:tcPr>
            <w:tcW w:type="dxa" w:w="480"/>
            <w:shd w:fill="C77D00"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r>
      <w:tr>
        <w:trPr>
          <w:cantSplit/>
        </w:trPr>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Soft launch (limited covers)</w:t>
            </w: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C77D00" w:val="clear"/>
          </w:tcPr>
          <w:p/>
        </w:tc>
        <w:tc>
          <w:tcPr>
            <w:tcW w:type="dxa" w:w="480"/>
            <w:shd w:fill="C77D00" w:val="clear"/>
          </w:tcPr>
          <w:p/>
        </w:tc>
        <w:tc>
          <w:tcPr>
            <w:tcW w:type="dxa" w:w="480"/>
            <w:shd w:fill="C77D00" w:val="clear"/>
          </w:tcPr>
          <w:p/>
        </w:tc>
        <w:tc>
          <w:tcPr>
            <w:tcW w:type="dxa" w:w="480"/>
            <w:shd w:fill="C77D00"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r>
      <w:tr>
        <w:trPr>
          <w:cantSplit/>
        </w:trP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Review &amp; substitution-effect analysis</w:t>
            </w: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FFFFFF" w:val="clear"/>
          </w:tcPr>
          <w:p/>
        </w:tc>
        <w:tc>
          <w:tcPr>
            <w:tcW w:type="dxa" w:w="480"/>
            <w:shd w:fill="C77D00" w:val="clear"/>
          </w:tcPr>
          <w:p/>
        </w:tc>
        <w:tc>
          <w:tcPr>
            <w:tcW w:type="dxa" w:w="480"/>
            <w:shd w:fill="C77D00" w:val="clear"/>
          </w:tcPr>
          <w:p/>
        </w:tc>
        <w:tc>
          <w:tcPr>
            <w:tcW w:type="dxa" w:w="480"/>
            <w:shd w:fill="C77D00" w:val="clear"/>
          </w:tcPr>
          <w:p/>
        </w:tc>
        <w:tc>
          <w:tcPr>
            <w:tcW w:type="dxa" w:w="480"/>
            <w:shd w:fill="FFFFFF" w:val="clear"/>
          </w:tcPr>
          <w:p/>
        </w:tc>
        <w:tc>
          <w:tcPr>
            <w:tcW w:type="dxa" w:w="480"/>
            <w:shd w:fill="FFFFFF" w:val="clear"/>
          </w:tcPr>
          <w:p/>
        </w:tc>
      </w:tr>
      <w:tr>
        <w:trPr>
          <w:cantSplit/>
        </w:trPr>
        <w:tc>
          <w:tcPr>
            <w:tcW w:type="dxa" w:w="3600"/>
            <w:shd w:fill="F2E7E7" w:val="clear"/>
            <w:tcMar>
              <w:top w:type="dxa" w:w="60"/>
              <w:left w:type="dxa" w:w="100"/>
              <w:bottom w:type="dxa" w:w="60"/>
              <w:right w:type="dxa" w:w="100"/>
            </w:tcMar>
            <w:vAlign w:val="center"/>
          </w:tcPr>
          <w:p>
            <w:pPr>
              <w:jc w:val="left"/>
            </w:pPr>
            <w:r>
              <w:rPr>
                <w:rFonts w:ascii="Calibri" w:cs="Calibri" w:eastAsia="Calibri" w:hAnsi="Calibri"/>
                <w:b w:val="false"/>
                <w:bCs w:val="false"/>
                <w:sz w:val="18"/>
                <w:szCs w:val="18"/>
              </w:rPr>
              <w:t xml:space="preserve">Full rollout decision</w:t>
            </w: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F2E7E7" w:val="clear"/>
          </w:tcPr>
          <w:p/>
        </w:tc>
        <w:tc>
          <w:tcPr>
            <w:tcW w:type="dxa" w:w="480"/>
            <w:shd w:fill="C77D00" w:val="clear"/>
          </w:tcPr>
          <w:p/>
        </w:tc>
        <w:tc>
          <w:tcPr>
            <w:tcW w:type="dxa" w:w="480"/>
            <w:shd w:fill="C77D00" w:val="clear"/>
          </w:tcPr>
          <w:p/>
        </w:tc>
        <w:tc>
          <w:tcPr>
            <w:tcW w:type="dxa" w:w="480"/>
            <w:shd w:fill="C77D00" w:val="clear"/>
          </w:tcPr>
          <w:p/>
        </w:tc>
      </w:tr>
    </w:tbl>
    <w:p>
      <w:pPr>
        <w:spacing w:after="240" w:before="100"/>
      </w:pPr>
      <w:r>
        <w:rPr>
          <w:rFonts w:ascii="Calibri" w:cs="Calibri" w:eastAsia="Calibri" w:hAnsi="Calibri"/>
          <w:i/>
          <w:iCs/>
          <w:sz w:val="20"/>
          <w:szCs w:val="20"/>
        </w:rPr>
        <w:t xml:space="preserve">Figure 2. Indicative twelve-week implementation timeline: menu trial, estate garden sourcing agreement, staff briefing, soft launch and review.</w:t>
      </w:r>
    </w:p>
    <w:p>
      <w:pPr>
        <w:pStyle w:val="Heading2"/>
        <w:spacing w:after="140" w:before="260"/>
      </w:pPr>
      <w:r>
        <w:rPr>
          <w:rFonts w:ascii="Cambria" w:cs="Cambria" w:eastAsia="Cambria" w:hAnsi="Cambria"/>
          <w:b/>
          <w:bCs/>
          <w:sz w:val="24"/>
          <w:szCs w:val="24"/>
        </w:rPr>
        <w:t xml:space="preserve">5.6 Self-critique</w:t>
      </w:r>
    </w:p>
    <w:p>
      <w:pPr>
        <w:spacing w:after="160" w:line="276"/>
      </w:pPr>
      <w:r>
        <w:rPr>
          <w:rFonts w:ascii="Calibri" w:cs="Calibri" w:eastAsia="Calibri" w:hAnsi="Calibri"/>
          <w:sz w:val="22"/>
          <w:szCs w:val="22"/>
        </w:rPr>
        <w:t xml:space="preserve">This proposal is not costless. There is a genuine risk of diluting a 227-year-old brand identity if plant-forward dishes or a simplified lunch format are perceived by loyal or occasion diners as a departure from what Rules is understood to be. The estate's kitchen-garden capacity and seasonal availability are unproven at any meaningful covers volume, meaning the plant-forward dishes may need to fall back on bought-in produce in poor growing years, undermining the very provenance narrative they are meant to reinforce. Most seriously, it is entirely possible that Rules' existing, more traditional clientele has no appetite for any of these changes and would treat their introduction with the same suspicion that the frosty-service critique currently attaches to the present format — a risk this report has not tested directly and which should be piloted, not assumed away, before any permanent menu change.</w:t>
      </w:r>
    </w:p>
    <w:p>
      <w:pPr>
        <w:pStyle w:val="Heading1"/>
        <w:spacing w:after="200" w:before="360"/>
      </w:pPr>
      <w:r>
        <w:rPr>
          <w:rFonts w:ascii="Cambria" w:cs="Cambria" w:eastAsia="Cambria" w:hAnsi="Cambria"/>
          <w:b/>
          <w:bCs/>
          <w:sz w:val="28"/>
          <w:szCs w:val="28"/>
        </w:rPr>
        <w:t xml:space="preserve">6. Conclusion</w:t>
      </w:r>
    </w:p>
    <w:p>
      <w:pPr>
        <w:spacing w:after="160" w:line="276"/>
      </w:pPr>
      <w:r>
        <w:rPr>
          <w:rFonts w:ascii="Calibri" w:cs="Calibri" w:eastAsia="Calibri" w:hAnsi="Calibri"/>
          <w:sz w:val="22"/>
          <w:szCs w:val="22"/>
        </w:rPr>
        <w:t xml:space="preserve">This report has evaluated Rules against three gastronomy trends and found a genuinely two-sided position, not a uniform deficiency. On provenance and traceability, the trend most commonly invoked to critique heritage dining as outdated, Rules is ahead of most of its formal-dining competitors in London by virtue of an estate-ownership model that most rivals can only approximate through supplier relationships; its failure has been one of marketing rather than substance. On plant-based inclusivity and the perceived accessibility of its service culture, by contrast, Rules is measurably behind current diner expectations, and both gaps are substantiated by industry data and by a recurring pattern in primary customer-review evidence.</w:t>
      </w:r>
    </w:p>
    <w:p>
      <w:pPr>
        <w:spacing w:after="160" w:line="276"/>
      </w:pPr>
      <w:r>
        <w:rPr>
          <w:rFonts w:ascii="Calibri" w:cs="Calibri" w:eastAsia="Calibri" w:hAnsi="Calibri"/>
          <w:sz w:val="22"/>
          <w:szCs w:val="22"/>
        </w:rPr>
        <w:t xml:space="preserve">The proposed response — visible provenance labelling, estate-and-market plant-forward dishes framed as an extension of existing sourcing philosophy, and a shorter "Rules at Lunch" format addressing the accessibility barrier — is designed throughout to extend Kapferer's (2008) "physique" and "culture" facets rather than replace them, while directly repairing the "reflection" and "relationship" facets identified as the source of friction. The menu-engineering, financial, compliance and sustainability analysis in Section 5 shows this can be implemented without assuming plant-based dishes are automatically cheaper or lower-risk, and the self-critique makes clear that clientele resistance and estate-supply constraints are real risks to be piloted, not assumed away. The central recommendation is therefore not "modernise a heritage menu," but a more precise instruction: formalise and market the provenance advantage Rules already holds, and close the two specific, evidenced gaps — plant-based main-menu inclusion and service-format accessibility — that currently sit alongside it.</w:t>
      </w:r>
    </w:p>
    <w:p>
      <w:r>
        <w:br w:type="page"/>
      </w:r>
    </w:p>
    <w:p>
      <w:pPr>
        <w:pStyle w:val="Heading1"/>
        <w:spacing w:after="200" w:before="360"/>
      </w:pPr>
      <w:r>
        <w:rPr>
          <w:rFonts w:ascii="Cambria" w:cs="Cambria" w:eastAsia="Cambria" w:hAnsi="Cambria"/>
          <w:b/>
          <w:bCs/>
          <w:sz w:val="28"/>
          <w:szCs w:val="28"/>
        </w:rPr>
        <w:t xml:space="preserve">References</w:t>
      </w:r>
    </w:p>
    <w:p>
      <w:pPr>
        <w:spacing w:after="240" w:line="276"/>
      </w:pPr>
      <w:r>
        <w:rPr>
          <w:rFonts w:ascii="Calibri" w:cs="Calibri" w:eastAsia="Calibri" w:hAnsi="Calibri"/>
          <w:i/>
          <w:iCs/>
          <w:sz w:val="19"/>
          <w:szCs w:val="19"/>
        </w:rPr>
        <w:t xml:space="preserve">References are listed alphabetically in Harvard style. Entries drawn from journal titles supplied without a named author in the approved source brief are marked [author/volume/pages to confirm]; these, together with all URLs and the live-menu pricing at item Rules Restaurant (n.d.), should be verified against the original publication before final submission.</w:t>
      </w:r>
    </w:p>
    <w:p>
      <w:pPr>
        <w:spacing w:after="160" w:line="264"/>
        <w:ind w:left="400" w:hanging="400"/>
      </w:pPr>
      <w:r>
        <w:rPr>
          <w:rFonts w:ascii="Calibri" w:cs="Calibri" w:eastAsia="Calibri" w:hAnsi="Calibri"/>
          <w:sz w:val="20"/>
          <w:szCs w:val="20"/>
        </w:rPr>
        <w:t xml:space="preserve">Ajzen, I. (1991) 'The theory of planned behavior', Organizational Behavior and Human Decision Processes, 50(2), pp. 179–211.</w:t>
      </w:r>
    </w:p>
    <w:p>
      <w:pPr>
        <w:spacing w:after="160" w:line="264"/>
        <w:ind w:left="400" w:hanging="400"/>
      </w:pPr>
      <w:r>
        <w:rPr>
          <w:rFonts w:ascii="Calibri" w:cs="Calibri" w:eastAsia="Calibri" w:hAnsi="Calibri"/>
          <w:sz w:val="20"/>
          <w:szCs w:val="20"/>
        </w:rPr>
        <w:t xml:space="preserve">'A conflict of choice: how consumers choose where to go for dinner' (2023) [author/journal/volume/pages to confirm].</w:t>
      </w:r>
    </w:p>
    <w:p>
      <w:pPr>
        <w:spacing w:after="160" w:line="264"/>
        <w:ind w:left="400" w:hanging="400"/>
      </w:pPr>
      <w:r>
        <w:rPr>
          <w:rFonts w:ascii="Calibri" w:cs="Calibri" w:eastAsia="Calibri" w:hAnsi="Calibri"/>
          <w:sz w:val="20"/>
          <w:szCs w:val="20"/>
        </w:rPr>
        <w:t xml:space="preserve">'A Conceptual Paper on Experiential Dining Experience' (2025) Journal of Gastronomy and Applied Sciences (JOGA) [author/volume/pages to confirm].</w:t>
      </w:r>
    </w:p>
    <w:p>
      <w:pPr>
        <w:spacing w:after="160" w:line="264"/>
        <w:ind w:left="400" w:hanging="400"/>
      </w:pPr>
      <w:r>
        <w:rPr>
          <w:rFonts w:ascii="Calibri" w:cs="Calibri" w:eastAsia="Calibri" w:hAnsi="Calibri"/>
          <w:sz w:val="20"/>
          <w:szCs w:val="20"/>
        </w:rPr>
        <w:t xml:space="preserve">'A quarter century of studies on customer experience in restaurants' (2024) [author/journal/volume/pages to confirm].</w:t>
      </w:r>
    </w:p>
    <w:p>
      <w:pPr>
        <w:spacing w:after="160" w:line="264"/>
        <w:ind w:left="400" w:hanging="400"/>
      </w:pPr>
      <w:r>
        <w:rPr>
          <w:rFonts w:ascii="Calibri" w:cs="Calibri" w:eastAsia="Calibri" w:hAnsi="Calibri"/>
          <w:sz w:val="20"/>
          <w:szCs w:val="20"/>
        </w:rPr>
        <w:t xml:space="preserve">'Adopting an Extended Theory of Planned Behaviour for Nutrition-Labelled Menu Choice' (2023) [author/journal/volume/pages to confirm — PMC].</w:t>
      </w:r>
    </w:p>
    <w:p>
      <w:pPr>
        <w:spacing w:after="160" w:line="264"/>
        <w:ind w:left="400" w:hanging="400"/>
      </w:pPr>
      <w:r>
        <w:rPr>
          <w:rFonts w:ascii="Calibri" w:cs="Calibri" w:eastAsia="Calibri" w:hAnsi="Calibri"/>
          <w:sz w:val="20"/>
          <w:szCs w:val="20"/>
        </w:rPr>
        <w:t xml:space="preserve">Bournemouth University Research Online (BURO) (n.d.) Menu design and the place of environmental sustainability. Poole: Bournemouth University eprints repository [author/year to confirm].</w:t>
      </w:r>
    </w:p>
    <w:p>
      <w:pPr>
        <w:spacing w:after="160" w:line="264"/>
        <w:ind w:left="400" w:hanging="400"/>
      </w:pPr>
      <w:r>
        <w:rPr>
          <w:rFonts w:ascii="Calibri" w:cs="Calibri" w:eastAsia="Calibri" w:hAnsi="Calibri"/>
          <w:sz w:val="20"/>
          <w:szCs w:val="20"/>
        </w:rPr>
        <w:t xml:space="preserve">Bujalance-López, M. et al. (2025) 'Menu engineering re-examined: item substitution effects in restaurant menu analysis', British Food Journal [volume/pages to confirm].</w:t>
      </w:r>
    </w:p>
    <w:p>
      <w:pPr>
        <w:spacing w:after="160" w:line="264"/>
        <w:ind w:left="400" w:hanging="400"/>
      </w:pPr>
      <w:r>
        <w:rPr>
          <w:rFonts w:ascii="Calibri" w:cs="Calibri" w:eastAsia="Calibri" w:hAnsi="Calibri"/>
          <w:sz w:val="20"/>
          <w:szCs w:val="20"/>
        </w:rPr>
        <w:t xml:space="preserve">'Constructing a consumption model of fine dining' (2023) [author/journal/volume/pages to confirm — PMC].</w:t>
      </w:r>
    </w:p>
    <w:p>
      <w:pPr>
        <w:spacing w:after="160" w:line="264"/>
        <w:ind w:left="400" w:hanging="400"/>
      </w:pPr>
      <w:r>
        <w:rPr>
          <w:rFonts w:ascii="Calibri" w:cs="Calibri" w:eastAsia="Calibri" w:hAnsi="Calibri"/>
          <w:sz w:val="20"/>
          <w:szCs w:val="20"/>
        </w:rPr>
        <w:t xml:space="preserve">'Culinary trends in future gastronomy: a review' (2024) [author/journal/volume/pages to confirm].</w:t>
      </w:r>
    </w:p>
    <w:p>
      <w:pPr>
        <w:spacing w:after="160" w:line="264"/>
        <w:ind w:left="400" w:hanging="400"/>
      </w:pPr>
      <w:r>
        <w:rPr>
          <w:rFonts w:ascii="Calibri" w:cs="Calibri" w:eastAsia="Calibri" w:hAnsi="Calibri"/>
          <w:sz w:val="20"/>
          <w:szCs w:val="20"/>
        </w:rPr>
        <w:t xml:space="preserve">'Customer restaurant choice' (2023) [author/journal/volume/pages to confirm — PMC].</w:t>
      </w:r>
    </w:p>
    <w:p>
      <w:pPr>
        <w:spacing w:after="160" w:line="264"/>
        <w:ind w:left="400" w:hanging="400"/>
      </w:pPr>
      <w:r>
        <w:rPr>
          <w:rFonts w:ascii="Calibri" w:cs="Calibri" w:eastAsia="Calibri" w:hAnsi="Calibri"/>
          <w:sz w:val="20"/>
          <w:szCs w:val="20"/>
        </w:rPr>
        <w:t xml:space="preserve">'Designing a memorable dining experience lexicon' (2025) [author/journal/volume/pages to confirm].</w:t>
      </w:r>
    </w:p>
    <w:p>
      <w:pPr>
        <w:spacing w:after="160" w:line="264"/>
        <w:ind w:left="400" w:hanging="400"/>
      </w:pPr>
      <w:r>
        <w:rPr>
          <w:rFonts w:ascii="Calibri" w:cs="Calibri" w:eastAsia="Calibri" w:hAnsi="Calibri"/>
          <w:sz w:val="20"/>
          <w:szCs w:val="20"/>
        </w:rPr>
        <w:t xml:space="preserve">Dopson, L.R. and Hayes, D.K. (2020) Food and Beverage Cost Control. 7th edn. Hoboken, NJ: Wiley.</w:t>
      </w:r>
    </w:p>
    <w:p>
      <w:pPr>
        <w:spacing w:after="160" w:line="264"/>
        <w:ind w:left="400" w:hanging="400"/>
      </w:pPr>
      <w:r>
        <w:rPr>
          <w:rFonts w:ascii="Calibri" w:cs="Calibri" w:eastAsia="Calibri" w:hAnsi="Calibri"/>
          <w:sz w:val="20"/>
          <w:szCs w:val="20"/>
        </w:rPr>
        <w:t xml:space="preserve">Food Made Good (2024) Global Impact Report 2024. London: Sustainable Restaurant Association / Food Made Good.</w:t>
      </w:r>
    </w:p>
    <w:p>
      <w:pPr>
        <w:spacing w:after="160" w:line="264"/>
        <w:ind w:left="400" w:hanging="400"/>
      </w:pPr>
      <w:r>
        <w:rPr>
          <w:rFonts w:ascii="Calibri" w:cs="Calibri" w:eastAsia="Calibri" w:hAnsi="Calibri"/>
          <w:sz w:val="20"/>
          <w:szCs w:val="20"/>
        </w:rPr>
        <w:t xml:space="preserve">Food Made Good (2025) Food Made Good Standard: Final Report 2025. London: Sustainable Restaurant Association / Food Made Good.</w:t>
      </w:r>
    </w:p>
    <w:p>
      <w:pPr>
        <w:spacing w:after="160" w:line="264"/>
        <w:ind w:left="400" w:hanging="400"/>
      </w:pPr>
      <w:r>
        <w:rPr>
          <w:rFonts w:ascii="Calibri" w:cs="Calibri" w:eastAsia="Calibri" w:hAnsi="Calibri"/>
          <w:sz w:val="20"/>
          <w:szCs w:val="20"/>
        </w:rPr>
        <w:t xml:space="preserve">Food Standards Agency (n.d.) Food Hygiene Rating Scheme. Available at: https://www.food.gov.uk/safety-hygiene/food-hygiene-rating-scheme (Accessed: 31 August 2026).</w:t>
      </w:r>
    </w:p>
    <w:p>
      <w:pPr>
        <w:spacing w:after="160" w:line="264"/>
        <w:ind w:left="400" w:hanging="400"/>
      </w:pPr>
      <w:r>
        <w:rPr>
          <w:rFonts w:ascii="Calibri" w:cs="Calibri" w:eastAsia="Calibri" w:hAnsi="Calibri"/>
          <w:sz w:val="20"/>
          <w:szCs w:val="20"/>
        </w:rPr>
        <w:t xml:space="preserve">Food Standards Agency (n.d.) HACCP guidance for food businesses. Available at: https://www.food.gov.uk (Accessed: 31 August 2026).</w:t>
      </w:r>
    </w:p>
    <w:p>
      <w:pPr>
        <w:spacing w:after="160" w:line="264"/>
        <w:ind w:left="400" w:hanging="400"/>
      </w:pPr>
      <w:r>
        <w:rPr>
          <w:rFonts w:ascii="Calibri" w:cs="Calibri" w:eastAsia="Calibri" w:hAnsi="Calibri"/>
          <w:sz w:val="20"/>
          <w:szCs w:val="20"/>
        </w:rPr>
        <w:t xml:space="preserve">Food Information (Amendment) (England) Regulations 2019. Available at: https://www.legislation.gov.uk/uksi/2019/1218/contents/made (Accessed: 31 August 2026).</w:t>
      </w:r>
    </w:p>
    <w:p>
      <w:pPr>
        <w:spacing w:after="160" w:line="264"/>
        <w:ind w:left="400" w:hanging="400"/>
      </w:pPr>
      <w:r>
        <w:rPr>
          <w:rFonts w:ascii="Calibri" w:cs="Calibri" w:eastAsia="Calibri" w:hAnsi="Calibri"/>
          <w:sz w:val="20"/>
          <w:szCs w:val="20"/>
        </w:rPr>
        <w:t xml:space="preserve">The Good Food Guide (n.d.) Rules, Covent Garden. Available at: https://www.thegoodfoodguide.co.uk/restaurant/rules/id/276 (Accessed: 31 August 2026).</w:t>
      </w:r>
    </w:p>
    <w:p>
      <w:pPr>
        <w:spacing w:after="160" w:line="264"/>
        <w:ind w:left="400" w:hanging="400"/>
      </w:pPr>
      <w:r>
        <w:rPr>
          <w:rFonts w:ascii="Calibri" w:cs="Calibri" w:eastAsia="Calibri" w:hAnsi="Calibri"/>
          <w:sz w:val="20"/>
          <w:szCs w:val="20"/>
        </w:rPr>
        <w:t xml:space="preserve">'How do you choose your meal when you dine out?' (2024) Appetite [author/volume/pages to confirm].</w:t>
      </w:r>
    </w:p>
    <w:p>
      <w:pPr>
        <w:spacing w:after="160" w:line="264"/>
        <w:ind w:left="400" w:hanging="400"/>
      </w:pPr>
      <w:r>
        <w:rPr>
          <w:rFonts w:ascii="Calibri" w:cs="Calibri" w:eastAsia="Calibri" w:hAnsi="Calibri"/>
          <w:sz w:val="20"/>
          <w:szCs w:val="20"/>
        </w:rPr>
        <w:t xml:space="preserve">House of Commons Library (2024) Food waste in the UK. London: House of Commons Library.</w:t>
      </w:r>
    </w:p>
    <w:p>
      <w:pPr>
        <w:spacing w:after="160" w:line="264"/>
        <w:ind w:left="400" w:hanging="400"/>
      </w:pPr>
      <w:r>
        <w:rPr>
          <w:rFonts w:ascii="Calibri" w:cs="Calibri" w:eastAsia="Calibri" w:hAnsi="Calibri"/>
          <w:sz w:val="20"/>
          <w:szCs w:val="20"/>
        </w:rPr>
        <w:t xml:space="preserve">Kapferer, J-N. (2008) The New Strategic Brand Management: Creating and Sustaining Brand Equity Long Term. 4th edn. London: Kogan Page.</w:t>
      </w:r>
    </w:p>
    <w:p>
      <w:pPr>
        <w:spacing w:after="160" w:line="264"/>
        <w:ind w:left="400" w:hanging="400"/>
      </w:pPr>
      <w:r>
        <w:rPr>
          <w:rFonts w:ascii="Calibri" w:cs="Calibri" w:eastAsia="Calibri" w:hAnsi="Calibri"/>
          <w:sz w:val="20"/>
          <w:szCs w:val="20"/>
        </w:rPr>
        <w:t xml:space="preserve">Kasavana, M.L. and Smith, D.I. (1982) Menu Engineering: A Practical Guide to Menu Analysis. Okemos, MI: Hospitality Publications.</w:t>
      </w:r>
    </w:p>
    <w:p>
      <w:pPr>
        <w:spacing w:after="160" w:line="264"/>
        <w:ind w:left="400" w:hanging="400"/>
      </w:pPr>
      <w:r>
        <w:rPr>
          <w:rFonts w:ascii="Calibri" w:cs="Calibri" w:eastAsia="Calibri" w:hAnsi="Calibri"/>
          <w:sz w:val="20"/>
          <w:szCs w:val="20"/>
        </w:rPr>
        <w:t xml:space="preserve">'Menu engineering re-engineered' (2020) [author/journal/volume/pages to confirm].</w:t>
      </w:r>
    </w:p>
    <w:p>
      <w:pPr>
        <w:spacing w:after="160" w:line="264"/>
        <w:ind w:left="400" w:hanging="400"/>
      </w:pPr>
      <w:r>
        <w:rPr>
          <w:rFonts w:ascii="Calibri" w:cs="Calibri" w:eastAsia="Calibri" w:hAnsi="Calibri"/>
          <w:sz w:val="20"/>
          <w:szCs w:val="20"/>
        </w:rPr>
        <w:t xml:space="preserve">Mintel (2025) UK Meat Substitutes Market Dynamics 2025. London: Mintel Group.</w:t>
      </w:r>
    </w:p>
    <w:p>
      <w:pPr>
        <w:spacing w:after="160" w:line="264"/>
        <w:ind w:left="400" w:hanging="400"/>
      </w:pPr>
      <w:r>
        <w:rPr>
          <w:rFonts w:ascii="Calibri" w:cs="Calibri" w:eastAsia="Calibri" w:hAnsi="Calibri"/>
          <w:sz w:val="20"/>
          <w:szCs w:val="20"/>
        </w:rPr>
        <w:t xml:space="preserve">Mintel (2025) UK Sustainability in Food Market Report 2025. London: Mintel Group.</w:t>
      </w:r>
    </w:p>
    <w:p>
      <w:pPr>
        <w:spacing w:after="160" w:line="264"/>
        <w:ind w:left="400" w:hanging="400"/>
      </w:pPr>
      <w:r>
        <w:rPr>
          <w:rFonts w:ascii="Calibri" w:cs="Calibri" w:eastAsia="Calibri" w:hAnsi="Calibri"/>
          <w:sz w:val="20"/>
          <w:szCs w:val="20"/>
        </w:rPr>
        <w:t xml:space="preserve">Morrison, A.M. (1997) Hospitality and Travel Marketing. Albany, NY: Delmar Publishers.</w:t>
      </w:r>
    </w:p>
    <w:p>
      <w:pPr>
        <w:spacing w:after="160" w:line="264"/>
        <w:ind w:left="400" w:hanging="400"/>
      </w:pPr>
      <w:r>
        <w:rPr>
          <w:rFonts w:ascii="Calibri" w:cs="Calibri" w:eastAsia="Calibri" w:hAnsi="Calibri"/>
          <w:sz w:val="20"/>
          <w:szCs w:val="20"/>
        </w:rPr>
        <w:t xml:space="preserve">NielsenIQ / CGA (2025) Hospitality Market Monitor, January 2025. Chicago: NielsenIQ.</w:t>
      </w:r>
    </w:p>
    <w:p>
      <w:pPr>
        <w:spacing w:after="160" w:line="264"/>
        <w:ind w:left="400" w:hanging="400"/>
      </w:pPr>
      <w:r>
        <w:rPr>
          <w:rFonts w:ascii="Calibri" w:cs="Calibri" w:eastAsia="Calibri" w:hAnsi="Calibri"/>
          <w:sz w:val="20"/>
          <w:szCs w:val="20"/>
        </w:rPr>
        <w:t xml:space="preserve">NielsenIQ / CGA (2026) Hospitality Health Check 2026. Chicago: NielsenIQ.</w:t>
      </w:r>
    </w:p>
    <w:p>
      <w:pPr>
        <w:spacing w:after="160" w:line="264"/>
        <w:ind w:left="400" w:hanging="400"/>
      </w:pPr>
      <w:r>
        <w:rPr>
          <w:rFonts w:ascii="Calibri" w:cs="Calibri" w:eastAsia="Calibri" w:hAnsi="Calibri"/>
          <w:sz w:val="20"/>
          <w:szCs w:val="20"/>
        </w:rPr>
        <w:t xml:space="preserve">'Restaurant menu design and the place of environmental sustainability' (2025) [author/journal/volume/pages to confirm].</w:t>
      </w:r>
    </w:p>
    <w:p>
      <w:pPr>
        <w:spacing w:after="160" w:line="264"/>
        <w:ind w:left="400" w:hanging="400"/>
      </w:pPr>
      <w:r>
        <w:rPr>
          <w:rFonts w:ascii="Calibri" w:cs="Calibri" w:eastAsia="Calibri" w:hAnsi="Calibri"/>
          <w:sz w:val="20"/>
          <w:szCs w:val="20"/>
        </w:rPr>
        <w:t xml:space="preserve">Rules Restaurant (n.d.) Rules — menu and estate sourcing information. Available at: https://www.rules.co.uk (Accessed: 31 August 2026).</w:t>
      </w:r>
    </w:p>
    <w:p>
      <w:pPr>
        <w:spacing w:after="160" w:line="264"/>
        <w:ind w:left="400" w:hanging="400"/>
      </w:pPr>
      <w:r>
        <w:rPr>
          <w:rFonts w:ascii="Calibri" w:cs="Calibri" w:eastAsia="Calibri" w:hAnsi="Calibri"/>
          <w:sz w:val="20"/>
          <w:szCs w:val="20"/>
        </w:rPr>
        <w:t xml:space="preserve">Statista (2025) Veganuary participation statistics, United Kingdom. Hamburg: Statista.</w:t>
      </w:r>
    </w:p>
    <w:p>
      <w:pPr>
        <w:spacing w:after="160" w:line="264"/>
        <w:ind w:left="400" w:hanging="400"/>
      </w:pPr>
      <w:r>
        <w:rPr>
          <w:rFonts w:ascii="Calibri" w:cs="Calibri" w:eastAsia="Calibri" w:hAnsi="Calibri"/>
          <w:sz w:val="20"/>
          <w:szCs w:val="20"/>
        </w:rPr>
        <w:t xml:space="preserve">TripAdvisor (n.d.) Rules Restaurant, London — customer reviews. Available at: https://www.tripadvisor.com/Restaurant_Review-g186338-d700845-Reviews-Rules_Restaurant-London_England.html (Accessed: 31 August 2026).</w:t>
      </w:r>
    </w:p>
    <w:p>
      <w:pPr>
        <w:spacing w:after="160" w:line="264"/>
        <w:ind w:left="400" w:hanging="400"/>
      </w:pPr>
      <w:r>
        <w:rPr>
          <w:rFonts w:ascii="Calibri" w:cs="Calibri" w:eastAsia="Calibri" w:hAnsi="Calibri"/>
          <w:sz w:val="20"/>
          <w:szCs w:val="20"/>
        </w:rPr>
        <w:t xml:space="preserve">Veganuary (2025) Veganuary 2025 End of Campaign Report, UK. Loughborough: Veganuary.</w:t>
      </w:r>
    </w:p>
    <w:p>
      <w:pPr>
        <w:spacing w:after="160" w:line="264"/>
        <w:ind w:left="400" w:hanging="400"/>
      </w:pPr>
      <w:r>
        <w:rPr>
          <w:rFonts w:ascii="Calibri" w:cs="Calibri" w:eastAsia="Calibri" w:hAnsi="Calibri"/>
          <w:sz w:val="20"/>
          <w:szCs w:val="20"/>
        </w:rPr>
        <w:t xml:space="preserve">WRAP (n.d.) Guardians of Grub: hospitality food waste toolkit. Banbury: WRAP.</w:t>
      </w:r>
    </w:p>
    <w:p>
      <w:pPr>
        <w:spacing w:after="160" w:line="264"/>
        <w:ind w:left="400" w:hanging="400"/>
      </w:pPr>
      <w:r>
        <w:rPr>
          <w:rFonts w:ascii="Calibri" w:cs="Calibri" w:eastAsia="Calibri" w:hAnsi="Calibri"/>
          <w:sz w:val="20"/>
          <w:szCs w:val="20"/>
        </w:rPr>
        <w:t xml:space="preserve">WRAP (n.d.) Overview of hospitality and food service food waste. Banbury: WRAP.</w:t>
      </w:r>
    </w:p>
    <w:p>
      <w:pPr>
        <w:spacing w:after="160" w:line="264"/>
        <w:ind w:left="400" w:hanging="400"/>
      </w:pPr>
      <w:r>
        <w:rPr>
          <w:rFonts w:ascii="Calibri" w:cs="Calibri" w:eastAsia="Calibri" w:hAnsi="Calibri"/>
          <w:sz w:val="20"/>
          <w:szCs w:val="20"/>
        </w:rPr>
        <w:t xml:space="preserve">WRAP (n.d.) Where food waste arises in hospitality and food service. Banbury: WRAP.</w:t>
      </w:r>
    </w:p>
    <w:p>
      <w:r>
        <w:br w:type="page"/>
      </w:r>
    </w:p>
    <w:p>
      <w:pPr>
        <w:pStyle w:val="Heading1"/>
        <w:spacing w:after="200" w:before="360"/>
      </w:pPr>
      <w:r>
        <w:rPr>
          <w:rFonts w:ascii="Cambria" w:cs="Cambria" w:eastAsia="Cambria" w:hAnsi="Cambria"/>
          <w:b/>
          <w:bCs/>
          <w:sz w:val="28"/>
          <w:szCs w:val="28"/>
        </w:rPr>
        <w:t xml:space="preserve">Appendices</w:t>
      </w:r>
    </w:p>
    <w:p>
      <w:pPr>
        <w:pStyle w:val="Heading2"/>
        <w:spacing w:after="140" w:before="260"/>
      </w:pPr>
      <w:r>
        <w:rPr>
          <w:rFonts w:ascii="Cambria" w:cs="Cambria" w:eastAsia="Cambria" w:hAnsi="Cambria"/>
          <w:b/>
          <w:bCs/>
          <w:sz w:val="24"/>
          <w:szCs w:val="24"/>
        </w:rPr>
        <w:t xml:space="preserve">Appendix A: Original menu (transcribed)</w:t>
      </w:r>
    </w:p>
    <w:p>
      <w:pPr>
        <w:spacing w:after="160" w:line="276"/>
      </w:pPr>
      <w:r>
        <w:rPr>
          <w:rFonts w:ascii="Calibri" w:cs="Calibri" w:eastAsia="Calibri" w:hAnsi="Calibri"/>
          <w:i/>
          <w:iCs/>
          <w:sz w:val="19"/>
          <w:szCs w:val="19"/>
        </w:rPr>
        <w:t xml:space="preserve">Transcribed from Rules Restaurant, n.d. (rules.co.uk), accessed for this report. Dish names, descriptions and prices should be re-verified against the live menu before final submission, as pricing available via secondary sources at the time of writing was dated.</w:t>
      </w:r>
    </w:p>
    <w:p>
      <w:pPr>
        <w:spacing w:after="160" w:line="276"/>
      </w:pPr>
      <w:r>
        <w:rPr>
          <w:rFonts w:ascii="Calibri" w:cs="Calibri" w:eastAsia="Calibri" w:hAnsi="Calibri"/>
          <w:sz w:val="22"/>
          <w:szCs w:val="22"/>
        </w:rPr>
        <w:t xml:space="preserve">Starters: Oysters (natives/rocks, seasonal); Potted Rules game with toast. Mains: Roast grouse with bread sauce; Roast partridge; Steak and kidney pie; Game pie (seasonal mix). Puddings: Sticky toffee pudding; Treacle tart. Vegetarian menu (separate, short card): seasonal vegetable dishes, no vegan main course.</w:t>
      </w:r>
    </w:p>
    <w:p>
      <w:pPr>
        <w:pStyle w:val="Heading2"/>
        <w:spacing w:after="140" w:before="260"/>
      </w:pPr>
      <w:r>
        <w:rPr>
          <w:rFonts w:ascii="Cambria" w:cs="Cambria" w:eastAsia="Cambria" w:hAnsi="Cambria"/>
          <w:b/>
          <w:bCs/>
          <w:sz w:val="24"/>
          <w:szCs w:val="24"/>
        </w:rPr>
        <w:t xml:space="preserve">Appendix B: Proposed menu (full)</w:t>
      </w:r>
    </w:p>
    <w:p>
      <w:pPr>
        <w:spacing w:after="160" w:line="276"/>
      </w:pPr>
      <w:r>
        <w:rPr>
          <w:rFonts w:ascii="Calibri" w:cs="Calibri" w:eastAsia="Calibri" w:hAnsi="Calibri"/>
          <w:sz w:val="22"/>
          <w:szCs w:val="22"/>
        </w:rPr>
        <w:t xml:space="preserve">As Table 3 (Section 4.5), reproduced in full menu-copy format for the redesigned card, including estate sourcing notes and the new "Rules at Lunch" fixed-format section.</w:t>
      </w:r>
    </w:p>
    <w:p>
      <w:pPr>
        <w:pStyle w:val="Heading2"/>
        <w:spacing w:after="140" w:before="260"/>
      </w:pPr>
      <w:r>
        <w:rPr>
          <w:rFonts w:ascii="Cambria" w:cs="Cambria" w:eastAsia="Cambria" w:hAnsi="Cambria"/>
          <w:b/>
          <w:bCs/>
          <w:sz w:val="24"/>
          <w:szCs w:val="24"/>
        </w:rPr>
        <w:t xml:space="preserve">Appendix C: Illustrative review excerpts (primary evidence)</w:t>
      </w:r>
    </w:p>
    <w:p>
      <w:pPr>
        <w:spacing w:after="160" w:line="276"/>
      </w:pPr>
      <w:r>
        <w:rPr>
          <w:rFonts w:ascii="Calibri" w:cs="Calibri" w:eastAsia="Calibri" w:hAnsi="Calibri"/>
          <w:i/>
          <w:iCs/>
          <w:sz w:val="19"/>
          <w:szCs w:val="19"/>
        </w:rPr>
        <w:t xml:space="preserve">The following are paraphrased, illustrative excerpts reflecting the recurring review pattern identified in Section 3.3. Verbatim quotations, reviewer attributions and dates should be drawn directly from the TripAdvisor and Good Food Guide pages cited in the reference list before these are used as direct quotations in the final submission.</w:t>
      </w:r>
    </w:p>
    <w:p>
      <w:pPr>
        <w:spacing w:after="160" w:line="276"/>
      </w:pPr>
      <w:r>
        <w:rPr>
          <w:rFonts w:ascii="Calibri" w:cs="Calibri" w:eastAsia="Calibri" w:hAnsi="Calibri"/>
          <w:sz w:val="22"/>
          <w:szCs w:val="22"/>
        </w:rPr>
        <w:t xml:space="preserve">• "Wonderful food and history, but the service felt frosty and unwelcoming for a first-time visitor." (paraphrased, TripAdvisor pattern)</w:t>
      </w:r>
    </w:p>
    <w:p>
      <w:pPr>
        <w:spacing w:after="160" w:line="276"/>
      </w:pPr>
      <w:r>
        <w:rPr>
          <w:rFonts w:ascii="Calibri" w:cs="Calibri" w:eastAsia="Calibri" w:hAnsi="Calibri"/>
          <w:sz w:val="22"/>
          <w:szCs w:val="22"/>
        </w:rPr>
        <w:t xml:space="preserve">• "Beautiful room, but it felt aimed squarely at tourists rather than a place I'd bring my vegetarian friends." (paraphrased, TripAdvisor pattern)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Rules Restaurant — Menu Evaluation and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Gastronomic Innovation Portfolio: A Menu Evaluation and Redesign for Rules Restaurant, Covent Garden</dc:title>
  <dc:creator>Student</dc:creator>
  <cp:lastModifiedBy>Un-named</cp:lastModifiedBy>
  <cp:revision>1</cp:revision>
  <dcterms:created xsi:type="dcterms:W3CDTF">2026-08-31T12:15:41.297Z</dcterms:created>
  <dcterms:modified xsi:type="dcterms:W3CDTF">2026-08-31T12:15:41.298Z</dcterms:modified>
</cp:coreProperties>
</file>

<file path=docProps/custom.xml><?xml version="1.0" encoding="utf-8"?>
<Properties xmlns="http://schemas.openxmlformats.org/officeDocument/2006/custom-properties" xmlns:vt="http://schemas.openxmlformats.org/officeDocument/2006/docPropsVTypes"/>
</file>