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val="false"/>
          <w:bCs w:val="false"/>
          <w:sz w:val="28"/>
          <w:szCs w:val="28"/>
        </w:rPr>
        <w:t xml:space="preserve">BSc Applied Management</w:t>
      </w:r>
    </w:p>
    <w:p>
      <w:pPr>
        <w:spacing w:after="720"/>
        <w:jc w:val="center"/>
      </w:pPr>
      <w:r>
        <w:rPr>
          <w:rFonts w:ascii="Arial" w:cs="Arial" w:eastAsia="Arial" w:hAnsi="Arial"/>
          <w:b w:val="false"/>
          <w:bCs w:val="false"/>
          <w:sz w:val="28"/>
          <w:szCs w:val="28"/>
        </w:rPr>
        <w:t xml:space="preserve">Applied Operations Management</w:t>
      </w:r>
    </w:p>
    <w:p>
      <w:pPr>
        <w:spacing w:after="360"/>
        <w:jc w:val="center"/>
      </w:pPr>
      <w:r>
        <w:rPr>
          <w:rFonts w:ascii="Arial" w:cs="Arial" w:eastAsia="Arial" w:hAnsi="Arial"/>
          <w:b/>
          <w:bCs/>
          <w:sz w:val="36"/>
          <w:szCs w:val="36"/>
        </w:rPr>
        <w:t xml:space="preserve">Formative Coursework CW4</w:t>
      </w:r>
    </w:p>
    <w:p>
      <w:pPr>
        <w:spacing w:after="720"/>
        <w:jc w:val="center"/>
      </w:pPr>
      <w:r>
        <w:rPr>
          <w:rFonts w:ascii="Arial" w:cs="Arial" w:eastAsia="Arial" w:hAnsi="Arial"/>
          <w:b/>
          <w:bCs/>
          <w:sz w:val="30"/>
          <w:szCs w:val="30"/>
        </w:rPr>
        <w:t xml:space="preserve">UrbanStay Boutique Hotels Ltd: Room Turnaround, Forecasting and Their Root Causes</w:t>
      </w:r>
    </w:p>
    <w:p>
      <w:pPr>
        <w:spacing w:after="120"/>
        <w:jc w:val="center"/>
      </w:pPr>
      <w:r>
        <w:rPr>
          <w:rFonts w:ascii="Arial" w:cs="Arial" w:eastAsia="Arial" w:hAnsi="Arial"/>
          <w:b w:val="false"/>
          <w:bCs w:val="false"/>
          <w:sz w:val="24"/>
          <w:szCs w:val="24"/>
        </w:rPr>
        <w:t xml:space="preserve">SRN: [insert SRN]</w:t>
      </w:r>
    </w:p>
    <w:p>
      <w:pPr>
        <w:spacing w:after="120"/>
        <w:jc w:val="center"/>
      </w:pPr>
      <w:r>
        <w:rPr>
          <w:rFonts w:ascii="Arial" w:cs="Arial" w:eastAsia="Arial" w:hAnsi="Arial"/>
          <w:b w:val="false"/>
          <w:bCs w:val="false"/>
          <w:sz w:val="24"/>
          <w:szCs w:val="24"/>
        </w:rPr>
        <w:t xml:space="preserve">Date of submission: [insert date]</w:t>
      </w:r>
    </w:p>
    <w:p>
      <w:pPr>
        <w:spacing w:after="120"/>
        <w:jc w:val="center"/>
      </w:pPr>
      <w:r>
        <w:rPr>
          <w:rFonts w:ascii="Arial" w:cs="Arial" w:eastAsia="Arial" w:hAnsi="Arial"/>
          <w:b w:val="false"/>
          <w:bCs w:val="false"/>
          <w:sz w:val="24"/>
          <w:szCs w:val="24"/>
        </w:rPr>
        <w:t xml:space="preserve">Word count (main body): [insert]</w:t>
      </w:r>
    </w:p>
    <w:p>
      <w:r>
        <w:br w:type="page"/>
      </w:r>
    </w:p>
    <w:p>
      <w:pPr>
        <w:spacing w:after="200"/>
      </w:pPr>
      <w:r>
        <w:rPr>
          <w:rFonts w:ascii="Arial" w:cs="Arial" w:eastAsia="Arial" w:hAnsi="Arial"/>
          <w:b/>
          <w:bCs/>
          <w:color w:val="1F3864"/>
          <w:sz w:val="28"/>
          <w:szCs w:val="28"/>
        </w:rPr>
        <w:t xml:space="preserve">Table of Contents</w:t>
      </w:r>
    </w:p>
    <w:p>
      <w:pPr>
        <w:tabs>
          <w:tab w:val="right" w:pos="9026" w:leader="dot"/>
        </w:tabs>
        <w:spacing w:after="120"/>
      </w:pPr>
      <w:r>
        <w:rPr>
          <w:rFonts w:ascii="Arial" w:cs="Arial" w:eastAsia="Arial" w:hAnsi="Arial"/>
          <w:sz w:val="22"/>
          <w:szCs w:val="22"/>
        </w:rPr>
        <w:t xml:space="preserve">Introduction	3</w:t>
      </w:r>
    </w:p>
    <w:p>
      <w:pPr>
        <w:tabs>
          <w:tab w:val="right" w:pos="9026" w:leader="dot"/>
        </w:tabs>
        <w:spacing w:after="120"/>
      </w:pPr>
      <w:r>
        <w:rPr>
          <w:rFonts w:ascii="Arial" w:cs="Arial" w:eastAsia="Arial" w:hAnsi="Arial"/>
          <w:sz w:val="22"/>
          <w:szCs w:val="22"/>
        </w:rPr>
        <w:t xml:space="preserve">AC1: Perishable Rooms Make Information Lag Expensive	3</w:t>
      </w:r>
    </w:p>
    <w:p>
      <w:pPr>
        <w:tabs>
          <w:tab w:val="right" w:pos="9026" w:leader="dot"/>
        </w:tabs>
        <w:spacing w:after="120"/>
      </w:pPr>
      <w:r>
        <w:rPr>
          <w:rFonts w:ascii="Arial" w:cs="Arial" w:eastAsia="Arial" w:hAnsi="Arial"/>
          <w:sz w:val="22"/>
          <w:szCs w:val="22"/>
        </w:rPr>
        <w:t xml:space="preserve">AC2: Root Causes, Recommendations and Comparison	3</w:t>
      </w:r>
    </w:p>
    <w:p>
      <w:pPr>
        <w:tabs>
          <w:tab w:val="right" w:pos="9026" w:leader="dot"/>
        </w:tabs>
        <w:spacing w:after="120"/>
      </w:pPr>
      <w:r>
        <w:rPr>
          <w:rFonts w:ascii="Arial" w:cs="Arial" w:eastAsia="Arial" w:hAnsi="Arial"/>
          <w:sz w:val="22"/>
          <w:szCs w:val="22"/>
        </w:rPr>
        <w:t xml:space="preserve">References	6</w:t>
      </w:r>
    </w:p>
    <w:p>
      <w:pPr>
        <w:tabs>
          <w:tab w:val="right" w:pos="9026" w:leader="dot"/>
        </w:tabs>
        <w:spacing w:after="120"/>
      </w:pPr>
      <w:r>
        <w:rPr>
          <w:rFonts w:ascii="Arial" w:cs="Arial" w:eastAsia="Arial" w:hAnsi="Arial"/>
          <w:sz w:val="22"/>
          <w:szCs w:val="22"/>
        </w:rPr>
        <w:t xml:space="preserve">Appendix	7</w:t>
      </w:r>
    </w:p>
    <w:p>
      <w:r>
        <w:br w:type="page"/>
      </w:r>
    </w:p>
    <w:p>
      <w:pPr>
        <w:pStyle w:val="Heading1"/>
      </w:pPr>
      <w:r>
        <w:rPr>
          <w:rFonts w:ascii="Arial" w:cs="Arial" w:eastAsia="Arial" w:hAnsi="Arial"/>
        </w:rPr>
        <w:t xml:space="preserve">Introduction</w:t>
      </w:r>
    </w:p>
    <w:p>
      <w:pPr>
        <w:spacing w:after="120" w:line="276"/>
        <w:jc w:val="both"/>
      </w:pPr>
      <w:r>
        <w:rPr>
          <w:rFonts w:ascii="Arial" w:cs="Arial" w:eastAsia="Arial" w:hAnsi="Arial"/>
          <w:sz w:val="22"/>
          <w:szCs w:val="22"/>
        </w:rPr>
        <w:t xml:space="preserve">UrbanStay Boutique Hotels Ltd operates personalised boutique hotels in London, Manchester and Birmingham, combining bespoke guest experiences with standardised processes. This report examines two challenges: inefficient room turnaround, and weak demand forecasting and booking management. It applies the Input-Transformation-Output (ITO) model, the 4Vs and the performance objectives (Slack, Brandon-Jones and Burgess, 2022). It argues that both arise because departments plan separately, using information that is neither shared nor current, in a business whose product, the room-night, perishes unsold. AC1 diagnoses the challenges; AC2 analyses causes, recommends action and compares Premier Inn.</w:t>
      </w:r>
    </w:p>
    <w:p>
      <w:pPr>
        <w:pStyle w:val="Heading1"/>
      </w:pPr>
      <w:r>
        <w:rPr>
          <w:rFonts w:ascii="Arial" w:cs="Arial" w:eastAsia="Arial" w:hAnsi="Arial"/>
        </w:rPr>
        <w:t xml:space="preserve">AC1: Perishable Rooms Make Information Lag Expensive</w:t>
      </w:r>
    </w:p>
    <w:p>
      <w:pPr>
        <w:spacing w:after="120" w:line="276"/>
        <w:jc w:val="both"/>
      </w:pPr>
      <w:r>
        <w:rPr>
          <w:rFonts w:ascii="Arial" w:cs="Arial" w:eastAsia="Arial" w:hAnsi="Arial"/>
          <w:b/>
          <w:bCs/>
          <w:sz w:val="22"/>
          <w:szCs w:val="22"/>
        </w:rPr>
        <w:t xml:space="preserve">Challenge 1: Inefficient room turnaround.</w:t>
      </w:r>
      <w:r>
        <w:rPr>
          <w:rFonts w:ascii="Arial" w:cs="Arial" w:eastAsia="Arial" w:hAnsi="Arial"/>
          <w:sz w:val="22"/>
          <w:szCs w:val="22"/>
        </w:rPr>
        <w:t xml:space="preserve"> Rooms are not ready when guests arrive, especially at high occupancy, because housekeeping and the front office coordinate poorly. In ITO terms, the room is a transformed resource, so a late-cleaned room is capacity that exists but cannot be sold (Slack, Brandon-Jones and Burgess, 2022). Variation is high because departure and arrival times are uncertain, and variability must be buffered by inventory, capacity or time (Hopp and Spearman, 2011). Hotels cannot stockpile rooms, so UrbanStay's buffer becomes guest waiting time. Housekeeping is a low-contact back-office process that can be run for efficiency, yet it is tightly coupled to the high-contact front desk (Chase, 1978; Zomerdijk and de Vries, 2007). Visibility is asymmetric: guests see only the outcome, a crowded lobby, while room status stays invisible inside the hotel. Poor status visibility between departments undermines speed and the dependability of promised check-in times, while rushed cleaning erodes quality and overtime raises cost (Hayes and Ninemeier, 2016).</w:t>
      </w:r>
    </w:p>
    <w:p>
      <w:pPr>
        <w:spacing w:after="120" w:line="276"/>
        <w:jc w:val="both"/>
      </w:pPr>
      <w:r>
        <w:rPr>
          <w:rFonts w:ascii="Arial" w:cs="Arial" w:eastAsia="Arial" w:hAnsi="Arial"/>
          <w:b/>
          <w:bCs/>
          <w:sz w:val="22"/>
          <w:szCs w:val="22"/>
        </w:rPr>
        <w:t xml:space="preserve">Challenge 2: Weak demand forecasting and booking management.</w:t>
      </w:r>
      <w:r>
        <w:rPr>
          <w:rFonts w:ascii="Arial" w:cs="Arial" w:eastAsia="Arial" w:hAnsi="Arial"/>
          <w:sz w:val="22"/>
          <w:szCs w:val="22"/>
        </w:rPr>
        <w:t xml:space="preserve"> Forecasts rely on historical averages without real-time data, so seasonality, events and platform-driven bookings are misjudged. Revenue management depends on forecasts to set prices, allocate inventory and manage overbooking (Talluri and van Ryzin, 2004), and booking-pace methods rank among the most accurate in hotels (Weatherford and Kimes, 2003). Reliance on online travel agencies further shifts control over demand to third parties (Toh, Raven and DeKay, 2011). Volume and variation therefore go unanticipated, so resources are misallocated: cost and flexibility suffer off-peak, and dependability suffers at peak.</w:t>
      </w:r>
    </w:p>
    <w:p>
      <w:pPr>
        <w:spacing w:after="120" w:line="276"/>
        <w:jc w:val="both"/>
      </w:pPr>
      <w:r>
        <w:rPr>
          <w:rFonts w:ascii="Arial" w:cs="Arial" w:eastAsia="Arial" w:hAnsi="Arial"/>
          <w:b/>
          <w:bCs/>
          <w:sz w:val="22"/>
          <w:szCs w:val="22"/>
        </w:rPr>
        <w:t xml:space="preserve">Interaction and external pressure.</w:t>
      </w:r>
      <w:r>
        <w:rPr>
          <w:rFonts w:ascii="Arial" w:cs="Arial" w:eastAsia="Arial" w:hAnsi="Arial"/>
          <w:sz w:val="22"/>
          <w:szCs w:val="22"/>
        </w:rPr>
        <w:t xml:space="preserve"> The challenges compound through a feedback loop. Missed forecasts misalign housekeeping rosters; late rooms then reduce sellable inventory at peak; and recorded sales understate true demand because constrained demand is censored (Talluri and van Ryzin, 2004), so future forecasts fall further. Externally, online reviews convert operational failures into reputational and pricing penalties (Xie, Zhang and Zhang, 2014), raising the commercial cost of each failure.</w:t>
      </w:r>
    </w:p>
    <w:p>
      <w:pPr>
        <w:spacing w:after="120" w:line="276"/>
        <w:jc w:val="both"/>
      </w:pPr>
      <w:r>
        <w:rPr>
          <w:rFonts w:ascii="Arial" w:cs="Arial" w:eastAsia="Arial" w:hAnsi="Arial"/>
          <w:b/>
          <w:bCs/>
          <w:sz w:val="22"/>
          <w:szCs w:val="22"/>
        </w:rPr>
        <w:t xml:space="preserve">Counter-view.</w:t>
      </w:r>
      <w:r>
        <w:rPr>
          <w:rFonts w:ascii="Arial" w:cs="Arial" w:eastAsia="Arial" w:hAnsi="Arial"/>
          <w:sz w:val="22"/>
          <w:szCs w:val="22"/>
        </w:rPr>
        <w:t xml:space="preserve"> Forecasting accuracy has limits: demand shocks are partly irreducible, and heavy analytics may suit large chains better than a boutique group. Yet the case points to unused information, such as booking pace and room status, rather than unpredictability alone, since digital systems are used inconsistently.</w:t>
      </w:r>
    </w:p>
    <w:p>
      <w:pPr>
        <w:pStyle w:val="Heading1"/>
      </w:pPr>
      <w:r>
        <w:rPr>
          <w:rFonts w:ascii="Arial" w:cs="Arial" w:eastAsia="Arial" w:hAnsi="Arial"/>
        </w:rPr>
        <w:t xml:space="preserve">AC2: Root Causes, Recommendations and Comparison</w:t>
      </w:r>
    </w:p>
    <w:p>
      <w:pPr>
        <w:spacing w:after="120" w:line="276"/>
        <w:jc w:val="both"/>
      </w:pPr>
      <w:r>
        <w:rPr>
          <w:rFonts w:ascii="Arial" w:cs="Arial" w:eastAsia="Arial" w:hAnsi="Arial"/>
          <w:b/>
          <w:bCs/>
          <w:sz w:val="22"/>
          <w:szCs w:val="22"/>
        </w:rPr>
        <w:t xml:space="preserve">Root causes.</w:t>
      </w:r>
      <w:r>
        <w:rPr>
          <w:rFonts w:ascii="Arial" w:cs="Arial" w:eastAsia="Arial" w:hAnsi="Arial"/>
          <w:sz w:val="22"/>
          <w:szCs w:val="22"/>
        </w:rPr>
        <w:t xml:space="preserve"> Four causes explain both challenges. First, demand management: forecasts ignore booking pace, so rosters follow averages (Hyndman and Athanasopoulos, 2021). Second, capacity planning: housekeeping is staffed to average occupancy, a level strategy against uneven daily workloads, rather than matched to departure patterns (Krajewski, Malhotra and Ritzman, 2019). Third, process design: a service blueprint would expose missing handoff triggers between housekeeping and reception, the classic fail points (Shostack, 1984). Fourth, resource utilisation: departments pursue separate measures, such as rooms cleaned per hour, prioritising efficiency over guest service. Personalisation adds request variability, which must be accommodated rather than suppressed (Frei, 2006).</w:t>
      </w:r>
    </w:p>
    <w:p>
      <w:pPr>
        <w:keepNext/>
        <w:spacing w:after="80" w:before="120"/>
      </w:pPr>
      <w:r>
        <w:rPr>
          <w:rFonts w:ascii="Arial" w:cs="Arial" w:eastAsia="Arial" w:hAnsi="Arial"/>
          <w:b/>
          <w:bCs/>
          <w:sz w:val="22"/>
          <w:szCs w:val="22"/>
        </w:rPr>
        <w:t xml:space="preserve">Table 1: Evaluation of UrbanStay's capacity and demand management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1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Practice area</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Current practice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Evaluation</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Consequence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Demand forecasting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Historical averages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Ignores booking pace and events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Misjudged peaks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Capacity planning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Rosters set to average occupancy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Level strategy, uneven workload</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Late rooms, idle hours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Process coordination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Informal housekeeping-reception handoffs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 status trigger, fail points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Delayed availability</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Resource utilisation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Separate departmental measures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Efficiency over service</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System inefficiency</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Booking management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Platform-led, weak channel control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Demand shaped by third parties</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Volatile volume</w:t>
            </w:r>
          </w:p>
        </w:tc>
      </w:tr>
    </w:tbl>
    <w:p>
      <w:pPr>
        <w:spacing w:after="160" w:before="60"/>
      </w:pPr>
      <w:r>
        <w:rPr>
          <w:rFonts w:ascii="Arial" w:cs="Arial" w:eastAsia="Arial" w:hAnsi="Arial"/>
          <w:i/>
          <w:iCs/>
          <w:sz w:val="18"/>
          <w:szCs w:val="18"/>
        </w:rPr>
        <w:t xml:space="preserve">Source: analysis of the UrbanStay case.</w:t>
      </w:r>
    </w:p>
    <w:p>
      <w:pPr>
        <w:spacing w:after="120" w:line="276"/>
        <w:jc w:val="both"/>
      </w:pPr>
      <w:r>
        <w:rPr>
          <w:rFonts w:ascii="Arial" w:cs="Arial" w:eastAsia="Arial" w:hAnsi="Arial"/>
          <w:b/>
          <w:bCs/>
          <w:sz w:val="22"/>
          <w:szCs w:val="22"/>
        </w:rPr>
        <w:t xml:space="preserve">Management responsibility.</w:t>
      </w:r>
      <w:r>
        <w:rPr>
          <w:rFonts w:ascii="Arial" w:cs="Arial" w:eastAsia="Arial" w:hAnsi="Arial"/>
          <w:sz w:val="22"/>
          <w:szCs w:val="22"/>
        </w:rPr>
        <w:t xml:space="preserve"> These outcomes follow from management design. Departmental targets and unintegrated systems were tolerated while strategy promised technology-enabled efficiency. The case suggests no role owns end-to-end room readiness, which is the responsibility of operations management. Intent and structure contradict each other: efficient departments produce an inefficient system.</w:t>
      </w:r>
    </w:p>
    <w:p>
      <w:pPr>
        <w:spacing w:after="120" w:line="276"/>
        <w:jc w:val="both"/>
      </w:pPr>
      <w:r>
        <w:rPr>
          <w:rFonts w:ascii="Arial" w:cs="Arial" w:eastAsia="Arial" w:hAnsi="Arial"/>
          <w:b/>
          <w:bCs/>
          <w:sz w:val="22"/>
          <w:szCs w:val="22"/>
        </w:rPr>
        <w:t xml:space="preserve">Recommendations (prioritised).</w:t>
      </w:r>
    </w:p>
    <w:p>
      <w:pPr>
        <w:pStyle w:val="ListParagraph"/>
        <w:numPr>
          <w:ilvl w:val="0"/>
          <w:numId w:val="2"/>
        </w:numPr>
        <w:spacing w:after="120" w:line="276"/>
        <w:jc w:val="both"/>
      </w:pPr>
      <w:r>
        <w:rPr>
          <w:rFonts w:ascii="Arial" w:cs="Arial" w:eastAsia="Arial" w:hAnsi="Arial"/>
          <w:sz w:val="22"/>
          <w:szCs w:val="22"/>
        </w:rPr>
        <w:t xml:space="preserve">Integrate real-time room status: housekeeping devices update the property management system and trigger priority cleaning for early arrivals. This is cheapest and fastest. KPI: rooms ready by agreed check-in time.</w:t>
      </w:r>
    </w:p>
    <w:p>
      <w:pPr>
        <w:pStyle w:val="ListParagraph"/>
        <w:numPr>
          <w:ilvl w:val="0"/>
          <w:numId w:val="2"/>
        </w:numPr>
        <w:spacing w:after="120" w:line="276"/>
        <w:jc w:val="both"/>
      </w:pPr>
      <w:r>
        <w:rPr>
          <w:rFonts w:ascii="Arial" w:cs="Arial" w:eastAsia="Arial" w:hAnsi="Arial"/>
          <w:sz w:val="22"/>
          <w:szCs w:val="22"/>
        </w:rPr>
        <w:t xml:space="preserve">Adopt a rolling booking-pace forecast with demand unconstraining to drive weekly rosters (Weatherford and Kimes, 2003). KPI: forecast error.</w:t>
      </w:r>
    </w:p>
    <w:p>
      <w:pPr>
        <w:pStyle w:val="ListParagraph"/>
        <w:numPr>
          <w:ilvl w:val="0"/>
          <w:numId w:val="2"/>
        </w:numPr>
        <w:spacing w:after="120" w:line="276"/>
        <w:jc w:val="both"/>
      </w:pPr>
      <w:r>
        <w:rPr>
          <w:rFonts w:ascii="Arial" w:cs="Arial" w:eastAsia="Arial" w:hAnsi="Arial"/>
          <w:sz w:val="22"/>
          <w:szCs w:val="22"/>
        </w:rPr>
        <w:t xml:space="preserve">Introduce departure-linked flexible housekeeping rosters and favour direct bookings. Dynamic pricing needs caution, because guests may perceive it as unfair (Kimes and Wirtz, 2003).</w:t>
      </w:r>
    </w:p>
    <w:p>
      <w:pPr>
        <w:spacing w:after="120" w:line="276"/>
        <w:jc w:val="both"/>
      </w:pPr>
      <w:r>
        <w:rPr>
          <w:rFonts w:ascii="Arial" w:cs="Arial" w:eastAsia="Arial" w:hAnsi="Arial"/>
          <w:sz w:val="22"/>
          <w:szCs w:val="22"/>
        </w:rPr>
        <w:t xml:space="preserve">Sequencing matters: recommendation 1 creates the data on which recommendations 2 and 3 depend.</w:t>
      </w:r>
    </w:p>
    <w:p>
      <w:pPr>
        <w:spacing w:after="120" w:line="276"/>
        <w:jc w:val="both"/>
      </w:pPr>
      <w:r>
        <w:rPr>
          <w:rFonts w:ascii="Arial" w:cs="Arial" w:eastAsia="Arial" w:hAnsi="Arial"/>
          <w:b/>
          <w:bCs/>
          <w:sz w:val="22"/>
          <w:szCs w:val="22"/>
        </w:rPr>
        <w:t xml:space="preserve">Competitor comparison.</w:t>
      </w:r>
      <w:r>
        <w:rPr>
          <w:rFonts w:ascii="Arial" w:cs="Arial" w:eastAsia="Arial" w:hAnsi="Arial"/>
          <w:sz w:val="22"/>
          <w:szCs w:val="22"/>
        </w:rPr>
        <w:t xml:space="preserve"> Premier Inn standardises room specifications, which limits cleaning variety, and its Good Night Guarantee makes dependability an explicit, recoverable promise (Whitbread plc, 2024). This supports recommendations 1 and 2. However, its scale and standardisation suit economy positioning, whereas UrbanStay's personalised rooms create variety. A modular approach, with standard cleaning cores and personalised finishing, retains differentiation.</w:t>
      </w:r>
    </w:p>
    <w:p>
      <w:pPr>
        <w:spacing w:after="120" w:line="276"/>
        <w:jc w:val="both"/>
      </w:pPr>
      <w:r>
        <w:rPr>
          <w:rFonts w:ascii="Arial" w:cs="Arial" w:eastAsia="Arial" w:hAnsi="Arial"/>
          <w:b/>
          <w:bCs/>
          <w:sz w:val="22"/>
          <w:szCs w:val="22"/>
        </w:rPr>
        <w:t xml:space="preserve">Evaluation and next steps.</w:t>
      </w:r>
      <w:r>
        <w:rPr>
          <w:rFonts w:ascii="Arial" w:cs="Arial" w:eastAsia="Arial" w:hAnsi="Arial"/>
          <w:sz w:val="22"/>
          <w:szCs w:val="22"/>
        </w:rPr>
        <w:t xml:space="preserve"> Integration depends on staff adoption and data quality, and implementation cost may exceed labour savings; the stronger case is revenue protected through rooms ready at peak and better reviews. Piloting in one London hotel, tracking readiness, forecast error and labour cost per occupied room, then scaling, limits risk.</w:t>
      </w:r>
    </w:p>
    <w:p>
      <w:r>
        <w:br w:type="page"/>
      </w:r>
    </w:p>
    <w:p>
      <w:pPr>
        <w:pStyle w:val="Heading1"/>
      </w:pPr>
      <w:r>
        <w:rPr>
          <w:rFonts w:ascii="Arial" w:cs="Arial" w:eastAsia="Arial" w:hAnsi="Arial"/>
        </w:rPr>
        <w:t xml:space="preserve">References</w:t>
      </w:r>
    </w:p>
    <w:p>
      <w:pPr>
        <w:spacing w:after="120" w:line="276"/>
        <w:ind w:left="567" w:hanging="567"/>
        <w:jc w:val="left"/>
      </w:pPr>
      <w:r>
        <w:rPr>
          <w:rFonts w:ascii="Arial" w:cs="Arial" w:eastAsia="Arial" w:hAnsi="Arial"/>
          <w:sz w:val="22"/>
          <w:szCs w:val="22"/>
        </w:rPr>
        <w:t xml:space="preserve">Chase, R.B. (1978) 'Where does the customer fit in a service operation?', </w:t>
      </w:r>
      <w:r>
        <w:rPr>
          <w:rFonts w:ascii="Arial" w:cs="Arial" w:eastAsia="Arial" w:hAnsi="Arial"/>
          <w:i/>
          <w:iCs/>
          <w:sz w:val="22"/>
          <w:szCs w:val="22"/>
        </w:rPr>
        <w:t xml:space="preserve">Harvard Business Review</w:t>
      </w:r>
      <w:r>
        <w:rPr>
          <w:rFonts w:ascii="Arial" w:cs="Arial" w:eastAsia="Arial" w:hAnsi="Arial"/>
          <w:sz w:val="22"/>
          <w:szCs w:val="22"/>
        </w:rPr>
        <w:t xml:space="preserve">, 56(6), pp. 137-142.</w:t>
      </w:r>
    </w:p>
    <w:p>
      <w:pPr>
        <w:spacing w:after="120" w:line="276"/>
        <w:ind w:left="567" w:hanging="567"/>
        <w:jc w:val="left"/>
      </w:pPr>
      <w:r>
        <w:rPr>
          <w:rFonts w:ascii="Arial" w:cs="Arial" w:eastAsia="Arial" w:hAnsi="Arial"/>
          <w:sz w:val="22"/>
          <w:szCs w:val="22"/>
        </w:rPr>
        <w:t xml:space="preserve">Frei, F.X. (2006) 'Breaking the trade-off between efficiency and service', </w:t>
      </w:r>
      <w:r>
        <w:rPr>
          <w:rFonts w:ascii="Arial" w:cs="Arial" w:eastAsia="Arial" w:hAnsi="Arial"/>
          <w:i/>
          <w:iCs/>
          <w:sz w:val="22"/>
          <w:szCs w:val="22"/>
        </w:rPr>
        <w:t xml:space="preserve">Harvard Business Review</w:t>
      </w:r>
      <w:r>
        <w:rPr>
          <w:rFonts w:ascii="Arial" w:cs="Arial" w:eastAsia="Arial" w:hAnsi="Arial"/>
          <w:sz w:val="22"/>
          <w:szCs w:val="22"/>
        </w:rPr>
        <w:t xml:space="preserve">, 84(11), pp. 92-101.</w:t>
      </w:r>
    </w:p>
    <w:p>
      <w:pPr>
        <w:spacing w:after="120" w:line="276"/>
        <w:ind w:left="567" w:hanging="567"/>
        <w:jc w:val="left"/>
      </w:pPr>
      <w:r>
        <w:rPr>
          <w:rFonts w:ascii="Arial" w:cs="Arial" w:eastAsia="Arial" w:hAnsi="Arial"/>
          <w:sz w:val="22"/>
          <w:szCs w:val="22"/>
        </w:rPr>
        <w:t xml:space="preserve">Hayes, D.K. and Ninemeier, J.D. (2016) </w:t>
      </w:r>
      <w:r>
        <w:rPr>
          <w:rFonts w:ascii="Arial" w:cs="Arial" w:eastAsia="Arial" w:hAnsi="Arial"/>
          <w:i/>
          <w:iCs/>
          <w:sz w:val="22"/>
          <w:szCs w:val="22"/>
        </w:rPr>
        <w:t xml:space="preserve">Hotel operations management</w:t>
      </w:r>
      <w:r>
        <w:rPr>
          <w:rFonts w:ascii="Arial" w:cs="Arial" w:eastAsia="Arial" w:hAnsi="Arial"/>
          <w:sz w:val="22"/>
          <w:szCs w:val="22"/>
        </w:rPr>
        <w:t xml:space="preserve">. 3rd edn. Boston: Pearson.</w:t>
      </w:r>
    </w:p>
    <w:p>
      <w:pPr>
        <w:spacing w:after="120" w:line="276"/>
        <w:ind w:left="567" w:hanging="567"/>
        <w:jc w:val="left"/>
      </w:pPr>
      <w:r>
        <w:rPr>
          <w:rFonts w:ascii="Arial" w:cs="Arial" w:eastAsia="Arial" w:hAnsi="Arial"/>
          <w:sz w:val="22"/>
          <w:szCs w:val="22"/>
        </w:rPr>
        <w:t xml:space="preserve">Hopp, W.J. and Spearman, M.L. (2011) </w:t>
      </w:r>
      <w:r>
        <w:rPr>
          <w:rFonts w:ascii="Arial" w:cs="Arial" w:eastAsia="Arial" w:hAnsi="Arial"/>
          <w:i/>
          <w:iCs/>
          <w:sz w:val="22"/>
          <w:szCs w:val="22"/>
        </w:rPr>
        <w:t xml:space="preserve">Factory physics</w:t>
      </w:r>
      <w:r>
        <w:rPr>
          <w:rFonts w:ascii="Arial" w:cs="Arial" w:eastAsia="Arial" w:hAnsi="Arial"/>
          <w:sz w:val="22"/>
          <w:szCs w:val="22"/>
        </w:rPr>
        <w:t xml:space="preserve">. 3rd edn. Long Grove, IL: Waveland Press.</w:t>
      </w:r>
    </w:p>
    <w:p>
      <w:pPr>
        <w:spacing w:after="120" w:line="276"/>
        <w:ind w:left="567" w:hanging="567"/>
        <w:jc w:val="left"/>
      </w:pPr>
      <w:r>
        <w:rPr>
          <w:rFonts w:ascii="Arial" w:cs="Arial" w:eastAsia="Arial" w:hAnsi="Arial"/>
          <w:sz w:val="22"/>
          <w:szCs w:val="22"/>
        </w:rPr>
        <w:t xml:space="preserve">Hyndman, R.J. and Athanasopoulos, G. (2021) </w:t>
      </w:r>
      <w:r>
        <w:rPr>
          <w:rFonts w:ascii="Arial" w:cs="Arial" w:eastAsia="Arial" w:hAnsi="Arial"/>
          <w:i/>
          <w:iCs/>
          <w:sz w:val="22"/>
          <w:szCs w:val="22"/>
        </w:rPr>
        <w:t xml:space="preserve">Forecasting: principles and practice</w:t>
      </w:r>
      <w:r>
        <w:rPr>
          <w:rFonts w:ascii="Arial" w:cs="Arial" w:eastAsia="Arial" w:hAnsi="Arial"/>
          <w:sz w:val="22"/>
          <w:szCs w:val="22"/>
        </w:rPr>
        <w:t xml:space="preserve">. 3rd edn. Melbourne: OTexts. Available at: https://otexts.com/fpp3/ (Accessed: 8 October 2026).</w:t>
      </w:r>
    </w:p>
    <w:p>
      <w:pPr>
        <w:spacing w:after="120" w:line="276"/>
        <w:ind w:left="567" w:hanging="567"/>
        <w:jc w:val="left"/>
      </w:pPr>
      <w:r>
        <w:rPr>
          <w:rFonts w:ascii="Arial" w:cs="Arial" w:eastAsia="Arial" w:hAnsi="Arial"/>
          <w:sz w:val="22"/>
          <w:szCs w:val="22"/>
        </w:rPr>
        <w:t xml:space="preserve">Kimes, S.E. and Wirtz, J. (2003) 'Has revenue management become acceptable? Findings from an international study on the perceived fairness of rate fences', </w:t>
      </w:r>
      <w:r>
        <w:rPr>
          <w:rFonts w:ascii="Arial" w:cs="Arial" w:eastAsia="Arial" w:hAnsi="Arial"/>
          <w:i/>
          <w:iCs/>
          <w:sz w:val="22"/>
          <w:szCs w:val="22"/>
        </w:rPr>
        <w:t xml:space="preserve">Journal of Service Research</w:t>
      </w:r>
      <w:r>
        <w:rPr>
          <w:rFonts w:ascii="Arial" w:cs="Arial" w:eastAsia="Arial" w:hAnsi="Arial"/>
          <w:sz w:val="22"/>
          <w:szCs w:val="22"/>
        </w:rPr>
        <w:t xml:space="preserve">, 6(2), pp. 125-135.</w:t>
      </w:r>
    </w:p>
    <w:p>
      <w:pPr>
        <w:spacing w:after="120" w:line="276"/>
        <w:ind w:left="567" w:hanging="567"/>
        <w:jc w:val="left"/>
      </w:pPr>
      <w:r>
        <w:rPr>
          <w:rFonts w:ascii="Arial" w:cs="Arial" w:eastAsia="Arial" w:hAnsi="Arial"/>
          <w:sz w:val="22"/>
          <w:szCs w:val="22"/>
        </w:rPr>
        <w:t xml:space="preserve">Krajewski, L.J., Malhotra, M.K. and Ritzman, L.P. (2019) </w:t>
      </w:r>
      <w:r>
        <w:rPr>
          <w:rFonts w:ascii="Arial" w:cs="Arial" w:eastAsia="Arial" w:hAnsi="Arial"/>
          <w:i/>
          <w:iCs/>
          <w:sz w:val="22"/>
          <w:szCs w:val="22"/>
        </w:rPr>
        <w:t xml:space="preserve">Operations management: processes and supply chains</w:t>
      </w:r>
      <w:r>
        <w:rPr>
          <w:rFonts w:ascii="Arial" w:cs="Arial" w:eastAsia="Arial" w:hAnsi="Arial"/>
          <w:sz w:val="22"/>
          <w:szCs w:val="22"/>
        </w:rPr>
        <w:t xml:space="preserve">. 12th edn. Harlow: Pearson.</w:t>
      </w:r>
    </w:p>
    <w:p>
      <w:pPr>
        <w:spacing w:after="120" w:line="276"/>
        <w:ind w:left="567" w:hanging="567"/>
        <w:jc w:val="left"/>
      </w:pPr>
      <w:r>
        <w:rPr>
          <w:rFonts w:ascii="Arial" w:cs="Arial" w:eastAsia="Arial" w:hAnsi="Arial"/>
          <w:sz w:val="22"/>
          <w:szCs w:val="22"/>
        </w:rPr>
        <w:t xml:space="preserve">Shostack, G.L. (1984) 'Designing services that deliver', </w:t>
      </w:r>
      <w:r>
        <w:rPr>
          <w:rFonts w:ascii="Arial" w:cs="Arial" w:eastAsia="Arial" w:hAnsi="Arial"/>
          <w:i/>
          <w:iCs/>
          <w:sz w:val="22"/>
          <w:szCs w:val="22"/>
        </w:rPr>
        <w:t xml:space="preserve">Harvard Business Review</w:t>
      </w:r>
      <w:r>
        <w:rPr>
          <w:rFonts w:ascii="Arial" w:cs="Arial" w:eastAsia="Arial" w:hAnsi="Arial"/>
          <w:sz w:val="22"/>
          <w:szCs w:val="22"/>
        </w:rPr>
        <w:t xml:space="preserve">, 62(1), pp. 133-139.</w:t>
      </w:r>
    </w:p>
    <w:p>
      <w:pPr>
        <w:spacing w:after="120" w:line="276"/>
        <w:ind w:left="567" w:hanging="567"/>
        <w:jc w:val="left"/>
      </w:pPr>
      <w:r>
        <w:rPr>
          <w:rFonts w:ascii="Arial" w:cs="Arial" w:eastAsia="Arial" w:hAnsi="Arial"/>
          <w:sz w:val="22"/>
          <w:szCs w:val="22"/>
        </w:rPr>
        <w:t xml:space="preserve">Slack, N., Brandon-Jones, A. and Burgess, N. (2022) </w:t>
      </w:r>
      <w:r>
        <w:rPr>
          <w:rFonts w:ascii="Arial" w:cs="Arial" w:eastAsia="Arial" w:hAnsi="Arial"/>
          <w:i/>
          <w:iCs/>
          <w:sz w:val="22"/>
          <w:szCs w:val="22"/>
        </w:rPr>
        <w:t xml:space="preserve">Operations management</w:t>
      </w:r>
      <w:r>
        <w:rPr>
          <w:rFonts w:ascii="Arial" w:cs="Arial" w:eastAsia="Arial" w:hAnsi="Arial"/>
          <w:sz w:val="22"/>
          <w:szCs w:val="22"/>
        </w:rPr>
        <w:t xml:space="preserve">. 10th edn. Harlow: Pearson.</w:t>
      </w:r>
    </w:p>
    <w:p>
      <w:pPr>
        <w:spacing w:after="120" w:line="276"/>
        <w:ind w:left="567" w:hanging="567"/>
        <w:jc w:val="left"/>
      </w:pPr>
      <w:r>
        <w:rPr>
          <w:rFonts w:ascii="Arial" w:cs="Arial" w:eastAsia="Arial" w:hAnsi="Arial"/>
          <w:sz w:val="22"/>
          <w:szCs w:val="22"/>
        </w:rPr>
        <w:t xml:space="preserve">Talluri, K.T. and van Ryzin, G.J. (2004) </w:t>
      </w:r>
      <w:r>
        <w:rPr>
          <w:rFonts w:ascii="Arial" w:cs="Arial" w:eastAsia="Arial" w:hAnsi="Arial"/>
          <w:i/>
          <w:iCs/>
          <w:sz w:val="22"/>
          <w:szCs w:val="22"/>
        </w:rPr>
        <w:t xml:space="preserve">The theory and practice of revenue management</w:t>
      </w:r>
      <w:r>
        <w:rPr>
          <w:rFonts w:ascii="Arial" w:cs="Arial" w:eastAsia="Arial" w:hAnsi="Arial"/>
          <w:sz w:val="22"/>
          <w:szCs w:val="22"/>
        </w:rPr>
        <w:t xml:space="preserve">. New York: Springer.</w:t>
      </w:r>
    </w:p>
    <w:p>
      <w:pPr>
        <w:spacing w:after="120" w:line="276"/>
        <w:ind w:left="567" w:hanging="567"/>
        <w:jc w:val="left"/>
      </w:pPr>
      <w:r>
        <w:rPr>
          <w:rFonts w:ascii="Arial" w:cs="Arial" w:eastAsia="Arial" w:hAnsi="Arial"/>
          <w:sz w:val="22"/>
          <w:szCs w:val="22"/>
        </w:rPr>
        <w:t xml:space="preserve">Toh, R.S., Raven, P. and DeKay, F. (2011) 'Selling rooms: hotels vs. third-party websites', </w:t>
      </w:r>
      <w:r>
        <w:rPr>
          <w:rFonts w:ascii="Arial" w:cs="Arial" w:eastAsia="Arial" w:hAnsi="Arial"/>
          <w:i/>
          <w:iCs/>
          <w:sz w:val="22"/>
          <w:szCs w:val="22"/>
        </w:rPr>
        <w:t xml:space="preserve">Cornell Hospitality Quarterly</w:t>
      </w:r>
      <w:r>
        <w:rPr>
          <w:rFonts w:ascii="Arial" w:cs="Arial" w:eastAsia="Arial" w:hAnsi="Arial"/>
          <w:sz w:val="22"/>
          <w:szCs w:val="22"/>
        </w:rPr>
        <w:t xml:space="preserve">, 52(2), pp. 181-189.</w:t>
      </w:r>
    </w:p>
    <w:p>
      <w:pPr>
        <w:spacing w:after="120" w:line="276"/>
        <w:ind w:left="567" w:hanging="567"/>
        <w:jc w:val="left"/>
      </w:pPr>
      <w:r>
        <w:rPr>
          <w:rFonts w:ascii="Arial" w:cs="Arial" w:eastAsia="Arial" w:hAnsi="Arial"/>
          <w:sz w:val="22"/>
          <w:szCs w:val="22"/>
        </w:rPr>
        <w:t xml:space="preserve">Weatherford, L.R. and Kimes, S.E. (2003) 'A comparison of forecasting methods for hotel revenue management', </w:t>
      </w:r>
      <w:r>
        <w:rPr>
          <w:rFonts w:ascii="Arial" w:cs="Arial" w:eastAsia="Arial" w:hAnsi="Arial"/>
          <w:i/>
          <w:iCs/>
          <w:sz w:val="22"/>
          <w:szCs w:val="22"/>
        </w:rPr>
        <w:t xml:space="preserve">International Journal of Forecasting</w:t>
      </w:r>
      <w:r>
        <w:rPr>
          <w:rFonts w:ascii="Arial" w:cs="Arial" w:eastAsia="Arial" w:hAnsi="Arial"/>
          <w:sz w:val="22"/>
          <w:szCs w:val="22"/>
        </w:rPr>
        <w:t xml:space="preserve">, 19(3), pp. 401-415.</w:t>
      </w:r>
    </w:p>
    <w:p>
      <w:pPr>
        <w:spacing w:after="120" w:line="276"/>
        <w:ind w:left="567" w:hanging="567"/>
        <w:jc w:val="left"/>
      </w:pPr>
      <w:r>
        <w:rPr>
          <w:rFonts w:ascii="Arial" w:cs="Arial" w:eastAsia="Arial" w:hAnsi="Arial"/>
          <w:sz w:val="22"/>
          <w:szCs w:val="22"/>
        </w:rPr>
        <w:t xml:space="preserve">Whitbread plc (2024) </w:t>
      </w:r>
      <w:r>
        <w:rPr>
          <w:rFonts w:ascii="Arial" w:cs="Arial" w:eastAsia="Arial" w:hAnsi="Arial"/>
          <w:i/>
          <w:iCs/>
          <w:sz w:val="22"/>
          <w:szCs w:val="22"/>
        </w:rPr>
        <w:t xml:space="preserve">Annual report and accounts 2023/24</w:t>
      </w:r>
      <w:r>
        <w:rPr>
          <w:rFonts w:ascii="Arial" w:cs="Arial" w:eastAsia="Arial" w:hAnsi="Arial"/>
          <w:sz w:val="22"/>
          <w:szCs w:val="22"/>
        </w:rPr>
        <w:t xml:space="preserve">. Available at: https://www.whitbread.com (Accessed: 8 October 2026).</w:t>
      </w:r>
    </w:p>
    <w:p>
      <w:pPr>
        <w:spacing w:after="120" w:line="276"/>
        <w:ind w:left="567" w:hanging="567"/>
        <w:jc w:val="left"/>
      </w:pPr>
      <w:r>
        <w:rPr>
          <w:rFonts w:ascii="Arial" w:cs="Arial" w:eastAsia="Arial" w:hAnsi="Arial"/>
          <w:sz w:val="22"/>
          <w:szCs w:val="22"/>
        </w:rPr>
        <w:t xml:space="preserve">Xie, K.L., Zhang, Z. and Zhang, Z. (2014) 'The business value of online consumer reviews and management response to hotel performance', </w:t>
      </w:r>
      <w:r>
        <w:rPr>
          <w:rFonts w:ascii="Arial" w:cs="Arial" w:eastAsia="Arial" w:hAnsi="Arial"/>
          <w:i/>
          <w:iCs/>
          <w:sz w:val="22"/>
          <w:szCs w:val="22"/>
        </w:rPr>
        <w:t xml:space="preserve">International Journal of Hospitality Management</w:t>
      </w:r>
      <w:r>
        <w:rPr>
          <w:rFonts w:ascii="Arial" w:cs="Arial" w:eastAsia="Arial" w:hAnsi="Arial"/>
          <w:sz w:val="22"/>
          <w:szCs w:val="22"/>
        </w:rPr>
        <w:t xml:space="preserve">, 43, pp. 1-12.</w:t>
      </w:r>
    </w:p>
    <w:p>
      <w:pPr>
        <w:spacing w:after="120" w:line="276"/>
        <w:ind w:left="567" w:hanging="567"/>
        <w:jc w:val="left"/>
      </w:pPr>
      <w:r>
        <w:rPr>
          <w:rFonts w:ascii="Arial" w:cs="Arial" w:eastAsia="Arial" w:hAnsi="Arial"/>
          <w:sz w:val="22"/>
          <w:szCs w:val="22"/>
        </w:rPr>
        <w:t xml:space="preserve">Zomerdijk, L.G. and de Vries, J. (2007) 'Structuring front office and back office work in service delivery systems: an empirical study of three design decisions', </w:t>
      </w:r>
      <w:r>
        <w:rPr>
          <w:rFonts w:ascii="Arial" w:cs="Arial" w:eastAsia="Arial" w:hAnsi="Arial"/>
          <w:i/>
          <w:iCs/>
          <w:sz w:val="22"/>
          <w:szCs w:val="22"/>
        </w:rPr>
        <w:t xml:space="preserve">International Journal of Operations &amp; Production Management</w:t>
      </w:r>
      <w:r>
        <w:rPr>
          <w:rFonts w:ascii="Arial" w:cs="Arial" w:eastAsia="Arial" w:hAnsi="Arial"/>
          <w:sz w:val="22"/>
          <w:szCs w:val="22"/>
        </w:rPr>
        <w:t xml:space="preserve">, 27(1), pp. 108-131.</w:t>
      </w:r>
    </w:p>
    <w:p>
      <w:r>
        <w:br w:type="page"/>
      </w:r>
    </w:p>
    <w:p>
      <w:pPr>
        <w:pStyle w:val="Heading1"/>
      </w:pPr>
      <w:r>
        <w:rPr>
          <w:rFonts w:ascii="Arial" w:cs="Arial" w:eastAsia="Arial" w:hAnsi="Arial"/>
        </w:rPr>
        <w:t xml:space="preserve">Appendix</w:t>
      </w:r>
    </w:p>
    <w:p>
      <w:pPr>
        <w:spacing w:after="120" w:line="276"/>
      </w:pPr>
      <w:r>
        <w:rPr>
          <w:rFonts w:ascii="Arial" w:cs="Arial" w:eastAsia="Arial" w:hAnsi="Arial"/>
          <w:sz w:val="22"/>
          <w:szCs w:val="22"/>
        </w:rPr>
        <w:t xml:space="preserve">[Insert AI prompts and AI-generated responses here if AI was used to review the draft or correct language errors.]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SRN: [insert SRN]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2026-10-08T15:20:03.811Z</dcterms:created>
  <dcterms:modified xsi:type="dcterms:W3CDTF">2026-10-08T15:20:03.811Z</dcterms:modified>
</cp:coreProperties>
</file>

<file path=docProps/custom.xml><?xml version="1.0" encoding="utf-8"?>
<Properties xmlns="http://schemas.openxmlformats.org/officeDocument/2006/custom-properties" xmlns:vt="http://schemas.openxmlformats.org/officeDocument/2006/docPropsVTypes"/>
</file>